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DE261" w14:textId="77777777" w:rsidR="00CB282D" w:rsidRDefault="00CB282D"/>
    <w:p w14:paraId="367284DF" w14:textId="77777777" w:rsidR="00CB282D" w:rsidRDefault="003B4D4B" w:rsidP="003B4D4B">
      <w:r>
        <w:rPr>
          <w:noProof/>
        </w:rPr>
        <w:drawing>
          <wp:anchor distT="0" distB="0" distL="114300" distR="114300" simplePos="0" relativeHeight="251659264" behindDoc="1" locked="0" layoutInCell="1" allowOverlap="1" wp14:anchorId="50543086" wp14:editId="0F5DB792">
            <wp:simplePos x="0" y="0"/>
            <wp:positionH relativeFrom="column">
              <wp:posOffset>800735</wp:posOffset>
            </wp:positionH>
            <wp:positionV relativeFrom="paragraph">
              <wp:posOffset>8890</wp:posOffset>
            </wp:positionV>
            <wp:extent cx="1655445" cy="408940"/>
            <wp:effectExtent l="0" t="0" r="1905" b="0"/>
            <wp:wrapTight wrapText="bothSides">
              <wp:wrapPolygon edited="0">
                <wp:start x="0" y="0"/>
                <wp:lineTo x="0" y="20124"/>
                <wp:lineTo x="21376" y="20124"/>
                <wp:lineTo x="2137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itber-logo.png"/>
                    <pic:cNvPicPr/>
                  </pic:nvPicPr>
                  <pic:blipFill>
                    <a:blip r:embed="rId6"/>
                    <a:stretch>
                      <a:fillRect/>
                    </a:stretch>
                  </pic:blipFill>
                  <pic:spPr>
                    <a:xfrm>
                      <a:off x="0" y="0"/>
                      <a:ext cx="1655445" cy="408940"/>
                    </a:xfrm>
                    <a:prstGeom prst="rect">
                      <a:avLst/>
                    </a:prstGeom>
                  </pic:spPr>
                </pic:pic>
              </a:graphicData>
            </a:graphic>
            <wp14:sizeRelH relativeFrom="page">
              <wp14:pctWidth>0</wp14:pctWidth>
            </wp14:sizeRelH>
            <wp14:sizeRelV relativeFrom="page">
              <wp14:pctHeight>0</wp14:pctHeight>
            </wp14:sizeRelV>
          </wp:anchor>
        </w:drawing>
      </w:r>
      <w:r>
        <w:rPr>
          <w:b/>
          <w:color w:val="1E293B"/>
          <w:sz w:val="44"/>
        </w:rPr>
        <w:t xml:space="preserve">        — Value Proposition</w:t>
      </w:r>
    </w:p>
    <w:p w14:paraId="62602C7C" w14:textId="77777777" w:rsidR="00F609AA" w:rsidRDefault="00000000">
      <w:pPr>
        <w:spacing w:after="40"/>
        <w:jc w:val="center"/>
      </w:pPr>
      <w:r>
        <w:rPr>
          <w:noProof/>
        </w:rPr>
        <w:drawing>
          <wp:inline distT="0" distB="0" distL="0" distR="0" wp14:anchorId="47515847" wp14:editId="21161880">
            <wp:extent cx="2194560" cy="3126675"/>
            <wp:effectExtent l="19050" t="19050" r="15240" b="17145"/>
            <wp:docPr id="900"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Screenshot"/>
                    <pic:cNvPicPr/>
                  </pic:nvPicPr>
                  <pic:blipFill>
                    <a:blip r:embed="rId7"/>
                    <a:stretch>
                      <a:fillRect/>
                    </a:stretch>
                  </pic:blipFill>
                  <pic:spPr>
                    <a:xfrm>
                      <a:off x="0" y="0"/>
                      <a:ext cx="2194560" cy="3126675"/>
                    </a:xfrm>
                    <a:prstGeom prst="rect">
                      <a:avLst/>
                    </a:prstGeom>
                    <a:ln>
                      <a:solidFill>
                        <a:schemeClr val="tx1"/>
                      </a:solidFill>
                    </a:ln>
                  </pic:spPr>
                </pic:pic>
              </a:graphicData>
            </a:graphic>
          </wp:inline>
        </w:drawing>
      </w:r>
    </w:p>
    <w:p w14:paraId="1E978A35" w14:textId="77777777" w:rsidR="00F609AA" w:rsidRDefault="00000000">
      <w:pPr>
        <w:spacing w:after="140"/>
        <w:jc w:val="center"/>
      </w:pPr>
      <w:r>
        <w:rPr>
          <w:i/>
          <w:color w:val="64748B"/>
          <w:sz w:val="16"/>
        </w:rPr>
        <w:t>The finished document — page 1 of a Retrofit Cost Plan, the homeowner’s summary.</w:t>
      </w:r>
    </w:p>
    <w:p w14:paraId="369DE214" w14:textId="77777777" w:rsidR="00D23FD8" w:rsidRDefault="00000000">
      <w:pPr>
        <w:spacing w:after="40"/>
        <w:jc w:val="center"/>
      </w:pPr>
      <w:r>
        <w:rPr>
          <w:noProof/>
        </w:rPr>
        <w:drawing>
          <wp:inline distT="0" distB="0" distL="0" distR="0" wp14:anchorId="03B8695F" wp14:editId="08AB68D9">
            <wp:extent cx="5760720" cy="1882413"/>
            <wp:effectExtent l="19050" t="19050" r="11430" b="22860"/>
            <wp:docPr id="951" name="Do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Doc1"/>
                    <pic:cNvPicPr/>
                  </pic:nvPicPr>
                  <pic:blipFill>
                    <a:blip r:embed="rId8"/>
                    <a:stretch>
                      <a:fillRect/>
                    </a:stretch>
                  </pic:blipFill>
                  <pic:spPr>
                    <a:xfrm>
                      <a:off x="0" y="0"/>
                      <a:ext cx="5760720" cy="1882413"/>
                    </a:xfrm>
                    <a:prstGeom prst="rect">
                      <a:avLst/>
                    </a:prstGeom>
                    <a:ln>
                      <a:solidFill>
                        <a:schemeClr val="tx1"/>
                      </a:solidFill>
                    </a:ln>
                  </pic:spPr>
                </pic:pic>
              </a:graphicData>
            </a:graphic>
          </wp:inline>
        </w:drawing>
      </w:r>
    </w:p>
    <w:p w14:paraId="61F6F666" w14:textId="77777777" w:rsidR="00D23FD8" w:rsidRDefault="00000000">
      <w:pPr>
        <w:spacing w:after="140"/>
        <w:jc w:val="center"/>
      </w:pPr>
      <w:r>
        <w:rPr>
          <w:i/>
          <w:color w:val="64748B"/>
          <w:sz w:val="16"/>
        </w:rPr>
        <w:t>Carried on every plan — how each party uses the figures, and the accuracy band, inclusions and limitations stated on the face of the document.</w:t>
      </w:r>
    </w:p>
    <w:p w14:paraId="5A579ECA" w14:textId="77777777" w:rsidR="00CB282D" w:rsidRDefault="00000000">
      <w:pPr>
        <w:spacing w:after="100"/>
        <w:rPr>
          <w:noProof/>
        </w:rPr>
      </w:pPr>
      <w:r>
        <w:rPr>
          <w:b/>
          <w:color w:val="1E293B"/>
          <w:szCs w:val="21"/>
        </w:rPr>
        <w:t xml:space="preserve">What it is. </w:t>
      </w:r>
      <w:r>
        <w:t>An itemised cost plan for a home retrofit, produced by the BER assessor at the assessment and issued with the BER documentation to the homeowner. For every measure recommended it sets out an estimated cost, the SEAI grant against it, and the net figure the homeowner has to fund — so the homeowner leaves the assessment with an estimated budget, not just a list of recommendations. Two further columns keep it live: an actual-spend column for what the work turns out to cost, and a notes column for recording quotes as they come in. The same document then serves the contractor pricing the work and the lender funding it, as well as SEAI and local authorities looking at cost across a programme — a one- or two-page plan that connects every party to a retrofit.</w:t>
      </w:r>
      <w:r>
        <w:rPr>
          <w:noProof/>
        </w:rPr>
        <w:t xml:space="preserve"> </w:t>
      </w:r>
    </w:p>
    <w:p w14:paraId="6E738F42" w14:textId="77777777" w:rsidR="003B4D4B" w:rsidRDefault="003B4D4B" w:rsidP="003B4D4B">
      <w:pPr>
        <w:spacing w:after="100"/>
      </w:pPr>
      <w:r>
        <w:rPr>
          <w:b/>
          <w:color w:val="1E293B"/>
        </w:rPr>
        <w:t>Why it matters.</w:t>
      </w:r>
      <w:r>
        <w:t xml:space="preserve"> Retrofit stalls where the parties stop speaking the same language. The assessor recommends measures, the homeowner guesses at the cost, the contractor quotes against an undefined scope, the lender asks for evidence the process does not produce, and SEAI supports measures without seeing what they finally cost. </w:t>
      </w:r>
      <w:r>
        <w:lastRenderedPageBreak/>
        <w:t>One document, built on one transparent, auditable method, gives each of them the same starting point read from their own side.</w:t>
      </w:r>
    </w:p>
    <w:p w14:paraId="624BDC0C" w14:textId="77777777" w:rsidR="003B4D4B" w:rsidRDefault="003B4D4B" w:rsidP="003B4D4B">
      <w:pPr>
        <w:spacing w:after="100"/>
      </w:pPr>
      <w:r>
        <w:rPr>
          <w:b/>
          <w:color w:val="1E293B"/>
        </w:rPr>
        <w:t>What we are asking of SEAI:</w:t>
      </w:r>
      <w:r>
        <w:t xml:space="preserve"> a funded pilot partnership, leading to recognition of the Retrofit Cost Plan as a standard cost document for Irish home retrofit. </w:t>
      </w:r>
    </w:p>
    <w:p w14:paraId="17B11350" w14:textId="77777777" w:rsidR="0068604C" w:rsidRDefault="0068604C">
      <w:pPr>
        <w:spacing w:after="100"/>
        <w:rPr>
          <w:b/>
          <w:color w:val="1E293B"/>
        </w:rPr>
      </w:pPr>
    </w:p>
    <w:p w14:paraId="2382F545" w14:textId="77777777" w:rsidR="0068604C" w:rsidRDefault="0068604C">
      <w:pPr>
        <w:spacing w:after="100"/>
        <w:rPr>
          <w:b/>
          <w:color w:val="1E293B"/>
        </w:rPr>
      </w:pPr>
    </w:p>
    <w:p w14:paraId="1345A8FB" w14:textId="7693B134" w:rsidR="00CB282D" w:rsidRDefault="00000000">
      <w:pPr>
        <w:spacing w:after="100"/>
      </w:pPr>
      <w:r>
        <w:rPr>
          <w:b/>
          <w:color w:val="1E293B"/>
        </w:rPr>
        <w:t>How it is made.</w:t>
      </w:r>
      <w:r>
        <w:t xml:space="preserve"> From the measurements the assessor has already taken — no return visit, no quantity surveyor, no separate exercise. Quantities come from the survey geometry, prices from a published rate book with county labour rates applied, and grants from the SEAI tables for the route the homeowner chooses. It is generated in PlanitBER — software built by practising BER assessors — and issued with the BER documentation.</w:t>
      </w:r>
    </w:p>
    <w:p w14:paraId="34E0DB52" w14:textId="77777777" w:rsidR="0068604C" w:rsidRDefault="0068604C">
      <w:pPr>
        <w:spacing w:after="100"/>
        <w:rPr>
          <w:b/>
          <w:color w:val="1E293B"/>
        </w:rPr>
      </w:pPr>
    </w:p>
    <w:p w14:paraId="727058E2" w14:textId="4DCFB85E" w:rsidR="00F609AA" w:rsidRDefault="00000000">
      <w:pPr>
        <w:spacing w:after="100"/>
      </w:pPr>
      <w:r>
        <w:rPr>
          <w:b/>
          <w:color w:val="1E293B"/>
        </w:rPr>
        <w:t>How it works, screen by screen.</w:t>
      </w:r>
      <w:r>
        <w:t xml:space="preserve"> The five screens below are the whole workflow, from opening a project to the finished plan. Every figure in the worked examples in this pack came from these screens.</w:t>
      </w:r>
    </w:p>
    <w:p w14:paraId="5B0EBCAD" w14:textId="77777777" w:rsidR="00F609AA" w:rsidRDefault="00000000">
      <w:pPr>
        <w:spacing w:after="40"/>
        <w:jc w:val="center"/>
      </w:pPr>
      <w:r>
        <w:rPr>
          <w:noProof/>
        </w:rPr>
        <w:drawing>
          <wp:inline distT="0" distB="0" distL="0" distR="0" wp14:anchorId="252E3830" wp14:editId="2A254926">
            <wp:extent cx="6367780" cy="5638800"/>
            <wp:effectExtent l="0" t="0" r="0" b="0"/>
            <wp:docPr id="901"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creenshot"/>
                    <pic:cNvPicPr/>
                  </pic:nvPicPr>
                  <pic:blipFill>
                    <a:blip r:embed="rId9"/>
                    <a:stretch>
                      <a:fillRect/>
                    </a:stretch>
                  </pic:blipFill>
                  <pic:spPr>
                    <a:xfrm>
                      <a:off x="0" y="0"/>
                      <a:ext cx="6376634" cy="5646640"/>
                    </a:xfrm>
                    <a:prstGeom prst="rect">
                      <a:avLst/>
                    </a:prstGeom>
                  </pic:spPr>
                </pic:pic>
              </a:graphicData>
            </a:graphic>
          </wp:inline>
        </w:drawing>
      </w:r>
    </w:p>
    <w:p w14:paraId="5F692C50" w14:textId="77777777" w:rsidR="00F609AA" w:rsidRDefault="00000000">
      <w:pPr>
        <w:spacing w:after="140"/>
        <w:jc w:val="center"/>
      </w:pPr>
      <w:r>
        <w:rPr>
          <w:i/>
          <w:color w:val="64748B"/>
          <w:sz w:val="16"/>
        </w:rPr>
        <w:t>Step 1 — the project. Dwelling type, county and the SEAI grant route the homeowner is following. The route chosen here sets which grant table the plan uses.</w:t>
      </w:r>
    </w:p>
    <w:p w14:paraId="60D5CF61" w14:textId="77777777" w:rsidR="00F609AA" w:rsidRDefault="00000000">
      <w:pPr>
        <w:spacing w:after="40"/>
        <w:jc w:val="center"/>
      </w:pPr>
      <w:r>
        <w:rPr>
          <w:noProof/>
        </w:rPr>
        <w:lastRenderedPageBreak/>
        <w:drawing>
          <wp:inline distT="0" distB="0" distL="0" distR="0" wp14:anchorId="7EB8651B" wp14:editId="5EC9D290">
            <wp:extent cx="5760085" cy="3223260"/>
            <wp:effectExtent l="0" t="0" r="0" b="0"/>
            <wp:docPr id="902"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creenshot"/>
                    <pic:cNvPicPr/>
                  </pic:nvPicPr>
                  <pic:blipFill>
                    <a:blip r:embed="rId10"/>
                    <a:stretch>
                      <a:fillRect/>
                    </a:stretch>
                  </pic:blipFill>
                  <pic:spPr>
                    <a:xfrm>
                      <a:off x="0" y="0"/>
                      <a:ext cx="5764274" cy="3225604"/>
                    </a:xfrm>
                    <a:prstGeom prst="rect">
                      <a:avLst/>
                    </a:prstGeom>
                  </pic:spPr>
                </pic:pic>
              </a:graphicData>
            </a:graphic>
          </wp:inline>
        </w:drawing>
      </w:r>
    </w:p>
    <w:p w14:paraId="05819FAC" w14:textId="58FE277A" w:rsidR="00F609AA" w:rsidRDefault="0068604C">
      <w:pPr>
        <w:spacing w:after="140"/>
        <w:jc w:val="center"/>
      </w:pPr>
      <w:r>
        <w:rPr>
          <w:noProof/>
        </w:rPr>
        <w:drawing>
          <wp:anchor distT="0" distB="0" distL="114300" distR="114300" simplePos="0" relativeHeight="251660288" behindDoc="1" locked="0" layoutInCell="1" allowOverlap="1" wp14:anchorId="74986B3F" wp14:editId="2DC346DF">
            <wp:simplePos x="0" y="0"/>
            <wp:positionH relativeFrom="margin">
              <wp:posOffset>206375</wp:posOffset>
            </wp:positionH>
            <wp:positionV relativeFrom="paragraph">
              <wp:posOffset>380365</wp:posOffset>
            </wp:positionV>
            <wp:extent cx="5806440" cy="3947160"/>
            <wp:effectExtent l="0" t="0" r="3810" b="0"/>
            <wp:wrapTight wrapText="bothSides">
              <wp:wrapPolygon edited="0">
                <wp:start x="0" y="0"/>
                <wp:lineTo x="0" y="21475"/>
                <wp:lineTo x="21543" y="21475"/>
                <wp:lineTo x="21543" y="0"/>
                <wp:lineTo x="0" y="0"/>
              </wp:wrapPolygon>
            </wp:wrapTight>
            <wp:docPr id="903"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creenshot"/>
                    <pic:cNvPicPr/>
                  </pic:nvPicPr>
                  <pic:blipFill>
                    <a:blip r:embed="rId11"/>
                    <a:stretch>
                      <a:fillRect/>
                    </a:stretch>
                  </pic:blipFill>
                  <pic:spPr>
                    <a:xfrm>
                      <a:off x="0" y="0"/>
                      <a:ext cx="5806440" cy="3947160"/>
                    </a:xfrm>
                    <a:prstGeom prst="rect">
                      <a:avLst/>
                    </a:prstGeom>
                  </pic:spPr>
                </pic:pic>
              </a:graphicData>
            </a:graphic>
            <wp14:sizeRelH relativeFrom="page">
              <wp14:pctWidth>0</wp14:pctWidth>
            </wp14:sizeRelH>
            <wp14:sizeRelV relativeFrom="page">
              <wp14:pctHeight>0</wp14:pctHeight>
            </wp14:sizeRelV>
          </wp:anchor>
        </w:drawing>
      </w:r>
      <w:r w:rsidR="00000000">
        <w:rPr>
          <w:i/>
          <w:color w:val="64748B"/>
          <w:sz w:val="16"/>
        </w:rPr>
        <w:t>Step 2 — the measurements. Geometry is entered once, from the survey already carried out. Every quantity in the plan derives from it, so nothing is measured or typed twice.</w:t>
      </w:r>
    </w:p>
    <w:p w14:paraId="76EAC0A1" w14:textId="639D391C" w:rsidR="00320825" w:rsidRDefault="00320825" w:rsidP="00320825">
      <w:pPr>
        <w:spacing w:after="140"/>
        <w:jc w:val="center"/>
      </w:pPr>
      <w:r>
        <w:rPr>
          <w:i/>
          <w:color w:val="64748B"/>
          <w:sz w:val="16"/>
        </w:rPr>
        <w:t>S</w:t>
      </w:r>
      <w:r>
        <w:rPr>
          <w:i/>
          <w:color w:val="64748B"/>
          <w:sz w:val="16"/>
        </w:rPr>
        <w:t xml:space="preserve">tep 3 — the measures. Each bundle carries its own specification and the SEAI grant cap against it. </w:t>
      </w:r>
      <w:r>
        <w:rPr>
          <w:b/>
          <w:i/>
          <w:color w:val="64748B"/>
          <w:sz w:val="16"/>
        </w:rPr>
        <w:t>Generate Cost Plan</w:t>
      </w:r>
      <w:r>
        <w:rPr>
          <w:i/>
          <w:color w:val="64748B"/>
          <w:sz w:val="16"/>
        </w:rPr>
        <w:t xml:space="preserve"> prices every ticked measure against the measurements above and builds the plan.</w:t>
      </w:r>
    </w:p>
    <w:p w14:paraId="36C20317" w14:textId="77777777" w:rsidR="0068604C" w:rsidRDefault="0068604C">
      <w:pPr>
        <w:spacing w:after="40"/>
        <w:jc w:val="center"/>
      </w:pPr>
    </w:p>
    <w:p w14:paraId="2A96FA63" w14:textId="77777777" w:rsidR="0068604C" w:rsidRDefault="0068604C">
      <w:pPr>
        <w:spacing w:after="40"/>
        <w:jc w:val="center"/>
      </w:pPr>
    </w:p>
    <w:p w14:paraId="7A766E5A" w14:textId="77777777" w:rsidR="0068604C" w:rsidRDefault="0068604C">
      <w:pPr>
        <w:spacing w:after="40"/>
        <w:jc w:val="center"/>
      </w:pPr>
    </w:p>
    <w:p w14:paraId="0BFB2133" w14:textId="2DEE2B71" w:rsidR="0068604C" w:rsidRDefault="00320825">
      <w:pPr>
        <w:spacing w:after="40"/>
        <w:jc w:val="center"/>
      </w:pPr>
      <w:r w:rsidRPr="0068604C">
        <w:lastRenderedPageBreak/>
        <w:drawing>
          <wp:anchor distT="0" distB="0" distL="114300" distR="114300" simplePos="0" relativeHeight="251662336" behindDoc="1" locked="0" layoutInCell="1" allowOverlap="1" wp14:anchorId="5047A04A" wp14:editId="6C199AB5">
            <wp:simplePos x="0" y="0"/>
            <wp:positionH relativeFrom="margin">
              <wp:align>left</wp:align>
            </wp:positionH>
            <wp:positionV relativeFrom="page">
              <wp:posOffset>891540</wp:posOffset>
            </wp:positionV>
            <wp:extent cx="6027420" cy="3848100"/>
            <wp:effectExtent l="0" t="0" r="0" b="0"/>
            <wp:wrapTight wrapText="bothSides">
              <wp:wrapPolygon edited="0">
                <wp:start x="341" y="0"/>
                <wp:lineTo x="341" y="21493"/>
                <wp:lineTo x="21504" y="21493"/>
                <wp:lineTo x="21504" y="0"/>
                <wp:lineTo x="341" y="0"/>
              </wp:wrapPolygon>
            </wp:wrapTight>
            <wp:docPr id="165435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8654"/>
                    <a:stretch>
                      <a:fillRect/>
                    </a:stretch>
                  </pic:blipFill>
                  <pic:spPr bwMode="auto">
                    <a:xfrm>
                      <a:off x="0" y="0"/>
                      <a:ext cx="6027420" cy="3848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98E3F1" w14:textId="76AC5C7E" w:rsidR="00F609AA" w:rsidRPr="0068604C" w:rsidRDefault="0068604C" w:rsidP="0068604C">
      <w:pPr>
        <w:spacing w:after="140"/>
        <w:rPr>
          <w:i/>
          <w:color w:val="64748B"/>
          <w:sz w:val="16"/>
        </w:rPr>
      </w:pPr>
      <w:r>
        <w:rPr>
          <w:i/>
          <w:color w:val="64748B"/>
          <w:sz w:val="16"/>
        </w:rPr>
        <w:t xml:space="preserve">Step 4 — </w:t>
      </w:r>
      <w:r w:rsidR="00000000">
        <w:rPr>
          <w:i/>
          <w:color w:val="64748B"/>
          <w:sz w:val="16"/>
        </w:rPr>
        <w:t xml:space="preserve">the plan on screen, with the pricing basis a contractor </w:t>
      </w:r>
      <w:proofErr w:type="gramStart"/>
      <w:r w:rsidR="00000000">
        <w:rPr>
          <w:i/>
          <w:color w:val="64748B"/>
          <w:sz w:val="16"/>
        </w:rPr>
        <w:t>prices</w:t>
      </w:r>
      <w:proofErr w:type="gramEnd"/>
      <w:r w:rsidR="00000000">
        <w:rPr>
          <w:i/>
          <w:color w:val="64748B"/>
          <w:sz w:val="16"/>
        </w:rPr>
        <w:t xml:space="preserve"> against. </w:t>
      </w:r>
      <w:r w:rsidR="00000000">
        <w:rPr>
          <w:b/>
          <w:i/>
          <w:color w:val="64748B"/>
          <w:sz w:val="16"/>
        </w:rPr>
        <w:t>Retrofit Cost Plan (PDF)</w:t>
      </w:r>
      <w:r w:rsidR="00000000">
        <w:rPr>
          <w:i/>
          <w:color w:val="64748B"/>
          <w:sz w:val="16"/>
        </w:rPr>
        <w:t xml:space="preserve"> produces the document the homeowner keeps; </w:t>
      </w:r>
      <w:r w:rsidR="00000000">
        <w:rPr>
          <w:b/>
          <w:i/>
          <w:color w:val="64748B"/>
          <w:sz w:val="16"/>
        </w:rPr>
        <w:t>Save Project</w:t>
      </w:r>
      <w:r w:rsidR="00000000">
        <w:rPr>
          <w:i/>
          <w:color w:val="64748B"/>
          <w:sz w:val="16"/>
        </w:rPr>
        <w:t xml:space="preserve"> stores it so the actual-spend and notes columns can be filled in as the work proceeds.</w:t>
      </w:r>
    </w:p>
    <w:p w14:paraId="3F6D9042" w14:textId="77777777" w:rsidR="00F609AA" w:rsidRDefault="00000000">
      <w:pPr>
        <w:spacing w:after="40"/>
        <w:jc w:val="center"/>
      </w:pPr>
      <w:r>
        <w:rPr>
          <w:noProof/>
        </w:rPr>
        <w:drawing>
          <wp:inline distT="0" distB="0" distL="0" distR="0" wp14:anchorId="64679C9A" wp14:editId="5B8B3BE8">
            <wp:extent cx="5760085" cy="3406140"/>
            <wp:effectExtent l="0" t="0" r="0" b="0"/>
            <wp:docPr id="905"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creenshot"/>
                    <pic:cNvPicPr/>
                  </pic:nvPicPr>
                  <pic:blipFill>
                    <a:blip r:embed="rId13"/>
                    <a:stretch>
                      <a:fillRect/>
                    </a:stretch>
                  </pic:blipFill>
                  <pic:spPr>
                    <a:xfrm>
                      <a:off x="0" y="0"/>
                      <a:ext cx="5760085" cy="3406140"/>
                    </a:xfrm>
                    <a:prstGeom prst="rect">
                      <a:avLst/>
                    </a:prstGeom>
                  </pic:spPr>
                </pic:pic>
              </a:graphicData>
            </a:graphic>
          </wp:inline>
        </w:drawing>
      </w:r>
    </w:p>
    <w:p w14:paraId="6944099E" w14:textId="77777777" w:rsidR="00F609AA" w:rsidRDefault="00000000">
      <w:pPr>
        <w:spacing w:after="140"/>
        <w:jc w:val="center"/>
      </w:pPr>
      <w:r>
        <w:rPr>
          <w:i/>
          <w:color w:val="64748B"/>
          <w:sz w:val="16"/>
        </w:rPr>
        <w:t>Behind it — the rate book, maintained centrally by Turley Energy Consultants. Every rate is dated and attributed to a named source, with low-confidence figures flagged as such. Assessors do not have access to this screen.</w:t>
      </w:r>
    </w:p>
    <w:p w14:paraId="3F167463" w14:textId="77777777" w:rsidR="00320825" w:rsidRDefault="00320825">
      <w:pPr>
        <w:spacing w:before="280" w:after="80"/>
        <w:rPr>
          <w:b/>
          <w:color w:val="B07D1A"/>
          <w:sz w:val="30"/>
        </w:rPr>
      </w:pPr>
    </w:p>
    <w:p w14:paraId="7231E3D6" w14:textId="07861D15" w:rsidR="00CB282D" w:rsidRDefault="00000000">
      <w:pPr>
        <w:spacing w:before="280" w:after="80"/>
      </w:pPr>
      <w:r>
        <w:rPr>
          <w:b/>
          <w:color w:val="B07D1A"/>
          <w:sz w:val="30"/>
        </w:rPr>
        <w:lastRenderedPageBreak/>
        <w:t>1. The problem</w:t>
      </w:r>
    </w:p>
    <w:p w14:paraId="7EFE8917" w14:textId="77777777" w:rsidR="00CB282D" w:rsidRDefault="00000000">
      <w:pPr>
        <w:spacing w:after="100"/>
      </w:pPr>
      <w:r>
        <w:t xml:space="preserve">Ireland has committed to retrofitting </w:t>
      </w:r>
      <w:r>
        <w:rPr>
          <w:b/>
          <w:color w:val="1E293B"/>
        </w:rPr>
        <w:t>500,000 homes to B2 or better by 2030</w:t>
      </w:r>
      <w:r>
        <w:t>, and is well behind target. Awareness and grant support are both in place. Cost is not the only barrier — affordability, disruption and competing priorities all play a part — but for many homeowners the remaining barrier is simply not knowing what the work is likely to cost.</w:t>
      </w:r>
    </w:p>
    <w:p w14:paraId="05DE3D68" w14:textId="77777777" w:rsidR="00CB282D" w:rsidRDefault="00000000">
      <w:pPr>
        <w:spacing w:after="100"/>
      </w:pPr>
      <w:r>
        <w:rPr>
          <w:b/>
          <w:color w:val="1E293B"/>
        </w:rPr>
        <w:t>1. Cost uncertainty stops homeowners acting.</w:t>
      </w:r>
      <w:r>
        <w:t xml:space="preserve"> An assessment says what needs upgrading but puts no price on it. Homeowners don't know whether that means €8,000 or €80,000, so they don't apply for grants, don't approach their bank, and don't proceed.</w:t>
      </w:r>
    </w:p>
    <w:p w14:paraId="39E6709C" w14:textId="77777777" w:rsidR="00CB282D" w:rsidRDefault="00000000">
      <w:pPr>
        <w:spacing w:after="100"/>
      </w:pPr>
      <w:r>
        <w:rPr>
          <w:b/>
          <w:color w:val="1E293B"/>
        </w:rPr>
        <w:t>2. Without a reference point, a fair quote and an inflated one look identical.</w:t>
      </w:r>
      <w:r>
        <w:t xml:space="preserve"> That costs honest contractors twice — they lose work to quotes that only look cheaper because items were left out, and they spend unpaid hours pricing enquiries that were never realistic. It costs the scheme too, because homeowners who suspect the grant will become someone else's margin simply walk away.</w:t>
      </w:r>
    </w:p>
    <w:p w14:paraId="587AE27E" w14:textId="77777777" w:rsidR="00CB282D" w:rsidRDefault="00000000">
      <w:pPr>
        <w:spacing w:after="100"/>
      </w:pPr>
      <w:r>
        <w:rPr>
          <w:b/>
          <w:color w:val="1E293B"/>
        </w:rPr>
        <w:t>3. Nothing bridges assessment and action.</w:t>
      </w:r>
      <w:r>
        <w:t xml:space="preserve"> The homeowner is left with a list of recommendations and no way to act on them, and the window in which they were motivated closes.</w:t>
      </w:r>
    </w:p>
    <w:p w14:paraId="7D4FE319" w14:textId="77777777" w:rsidR="00CB282D" w:rsidRDefault="00000000">
      <w:pPr>
        <w:spacing w:before="280" w:after="80"/>
      </w:pPr>
      <w:r>
        <w:rPr>
          <w:b/>
          <w:color w:val="B07D1A"/>
          <w:sz w:val="30"/>
        </w:rPr>
        <w:t>2. How the Retrofit Cost Plan answers it</w:t>
      </w:r>
    </w:p>
    <w:p w14:paraId="7CC8226D" w14:textId="77777777" w:rsidR="00CB282D" w:rsidRDefault="00000000">
      <w:pPr>
        <w:spacing w:after="100"/>
      </w:pPr>
      <w:r>
        <w:rPr>
          <w:b/>
          <w:color w:val="1E293B"/>
        </w:rPr>
        <w:t>1. It gives a number built on a transparent, auditable method.</w:t>
      </w:r>
      <w:r>
        <w:t xml:space="preserve"> An itemised budget built from the geometry the assessor already measured, using county-adjusted labour and current Irish material pricing, fully loaded (overhead and profit 12%, contingency 10%, VAT 13.5%; solar PV at 0%). Heat pumps are sized from the Heat Loss Indicator and a design heat load calculated to IS EN 12831, not estimated from floor area.</w:t>
      </w:r>
    </w:p>
    <w:p w14:paraId="24DDA29D" w14:textId="77777777" w:rsidR="00CB282D" w:rsidRDefault="00000000">
      <w:pPr>
        <w:spacing w:after="100"/>
      </w:pPr>
      <w:r>
        <w:rPr>
          <w:b/>
          <w:color w:val="1E293B"/>
        </w:rPr>
        <w:t>2. It gives everyone the same reference point.</w:t>
      </w:r>
      <w:r>
        <w:t xml:space="preserve"> Costs are set out independently of anyone selling the works, with grants deducted line by line, on a rate basis that is published rather than asserted.</w:t>
      </w:r>
    </w:p>
    <w:p w14:paraId="65B433FB" w14:textId="77777777" w:rsidR="00CB282D" w:rsidRDefault="00000000">
      <w:pPr>
        <w:spacing w:after="100"/>
      </w:pPr>
      <w:r>
        <w:rPr>
          <w:b/>
          <w:color w:val="1E293B"/>
        </w:rPr>
        <w:t>3. It closes the gap between advice and action.</w:t>
      </w:r>
      <w:r>
        <w:t xml:space="preserve"> Produced from the survey already done — no return visit, no re-measuring — and issued with the BER documentation as part of the same job.</w:t>
      </w:r>
    </w:p>
    <w:p w14:paraId="4D3B00F2" w14:textId="77777777" w:rsidR="00CB282D" w:rsidRDefault="00000000">
      <w:pPr>
        <w:spacing w:after="100"/>
      </w:pPr>
      <w:r>
        <w:t>The result is alignment: advice, quote, budget, loan file, and grant all referencing the same scope and the same rates, so there is less to dispute, because there is something agreed to point at. That is a benefit to the sector rather than a feature of a product, which is why SEAI's endorsement matters more than any marketing of ours.</w:t>
      </w:r>
    </w:p>
    <w:p w14:paraId="20713F08" w14:textId="77777777" w:rsidR="0068604C" w:rsidRDefault="0068604C">
      <w:pPr>
        <w:spacing w:after="100"/>
        <w:rPr>
          <w:b/>
          <w:color w:val="1E293B"/>
        </w:rPr>
      </w:pPr>
    </w:p>
    <w:p w14:paraId="6BA018CE" w14:textId="14F3A938" w:rsidR="00CB282D" w:rsidRDefault="00000000">
      <w:pPr>
        <w:spacing w:after="100"/>
      </w:pPr>
      <w:r>
        <w:rPr>
          <w:b/>
          <w:color w:val="1E293B"/>
        </w:rPr>
        <w:t>The document (see</w:t>
      </w:r>
      <w:r w:rsidR="00320825">
        <w:rPr>
          <w:b/>
          <w:color w:val="1E293B"/>
        </w:rPr>
        <w:t xml:space="preserve"> full</w:t>
      </w:r>
      <w:r>
        <w:rPr>
          <w:b/>
          <w:color w:val="1E293B"/>
        </w:rPr>
        <w:t xml:space="preserve"> examples in folder).</w:t>
      </w:r>
      <w:r>
        <w:t xml:space="preserve"> Page 1 is the homeowner's summary </w:t>
      </w:r>
      <w:r w:rsidR="0068604C">
        <w:t>(above)</w:t>
      </w:r>
      <w:r>
        <w:t>— one row per measure with its pricing basis, estimated cost, and the grant against it; an actual-spend column and a notes column for recording spend and quotes as the work proceeds; and the net figure the homeowner must fund beneath the totals. The pages behind it are the evidence</w:t>
      </w:r>
      <w:r w:rsidR="00320825">
        <w:t xml:space="preserve"> (below)</w:t>
      </w:r>
      <w:r>
        <w:t>: the loading methodology totalling exactly to the headline, and an itemised appendix down to unit rates. The summary and the evidence stay in one document, so they can never drift apart.</w:t>
      </w:r>
    </w:p>
    <w:tbl>
      <w:tblPr>
        <w:tblW w:w="0" w:type="auto"/>
        <w:tblLook w:val="04A0" w:firstRow="1" w:lastRow="0" w:firstColumn="1" w:lastColumn="0" w:noHBand="0" w:noVBand="1"/>
      </w:tblPr>
      <w:tblGrid>
        <w:gridCol w:w="4706"/>
        <w:gridCol w:w="4706"/>
      </w:tblGrid>
      <w:tr w:rsidR="00D23FD8" w14:paraId="3FF2EB10" w14:textId="77777777">
        <w:tc>
          <w:tcPr>
            <w:tcW w:w="4706" w:type="dxa"/>
          </w:tcPr>
          <w:p w14:paraId="77E48F51" w14:textId="77777777" w:rsidR="00D23FD8" w:rsidRDefault="00000000">
            <w:pPr>
              <w:jc w:val="center"/>
            </w:pPr>
            <w:r>
              <w:rPr>
                <w:noProof/>
              </w:rPr>
              <w:lastRenderedPageBreak/>
              <w:drawing>
                <wp:inline distT="0" distB="0" distL="0" distR="0" wp14:anchorId="5B0D07DC" wp14:editId="48A59BA7">
                  <wp:extent cx="2742858" cy="4065270"/>
                  <wp:effectExtent l="19050" t="19050" r="19685" b="11430"/>
                  <wp:docPr id="952" name="Do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oc2"/>
                          <pic:cNvPicPr/>
                        </pic:nvPicPr>
                        <pic:blipFill>
                          <a:blip r:embed="rId14"/>
                          <a:stretch>
                            <a:fillRect/>
                          </a:stretch>
                        </pic:blipFill>
                        <pic:spPr>
                          <a:xfrm>
                            <a:off x="0" y="0"/>
                            <a:ext cx="2748772" cy="4074035"/>
                          </a:xfrm>
                          <a:prstGeom prst="rect">
                            <a:avLst/>
                          </a:prstGeom>
                          <a:ln>
                            <a:solidFill>
                              <a:schemeClr val="tx1"/>
                            </a:solidFill>
                          </a:ln>
                        </pic:spPr>
                      </pic:pic>
                    </a:graphicData>
                  </a:graphic>
                </wp:inline>
              </w:drawing>
            </w:r>
          </w:p>
        </w:tc>
        <w:tc>
          <w:tcPr>
            <w:tcW w:w="4706" w:type="dxa"/>
          </w:tcPr>
          <w:p w14:paraId="165B19A1" w14:textId="77777777" w:rsidR="00D23FD8" w:rsidRDefault="00000000">
            <w:pPr>
              <w:jc w:val="center"/>
            </w:pPr>
            <w:r>
              <w:rPr>
                <w:noProof/>
              </w:rPr>
              <w:drawing>
                <wp:inline distT="0" distB="0" distL="0" distR="0" wp14:anchorId="1B713F91" wp14:editId="089854AA">
                  <wp:extent cx="2743200" cy="4079965"/>
                  <wp:effectExtent l="19050" t="19050" r="19050" b="15875"/>
                  <wp:docPr id="953" name="Do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Doc3"/>
                          <pic:cNvPicPr/>
                        </pic:nvPicPr>
                        <pic:blipFill>
                          <a:blip r:embed="rId15"/>
                          <a:stretch>
                            <a:fillRect/>
                          </a:stretch>
                        </pic:blipFill>
                        <pic:spPr>
                          <a:xfrm>
                            <a:off x="0" y="0"/>
                            <a:ext cx="2743200" cy="4079965"/>
                          </a:xfrm>
                          <a:prstGeom prst="rect">
                            <a:avLst/>
                          </a:prstGeom>
                          <a:ln>
                            <a:solidFill>
                              <a:schemeClr val="tx1"/>
                            </a:solidFill>
                          </a:ln>
                        </pic:spPr>
                      </pic:pic>
                    </a:graphicData>
                  </a:graphic>
                </wp:inline>
              </w:drawing>
            </w:r>
          </w:p>
        </w:tc>
      </w:tr>
    </w:tbl>
    <w:p w14:paraId="653099C7" w14:textId="77777777" w:rsidR="00D23FD8" w:rsidRDefault="00000000">
      <w:pPr>
        <w:spacing w:after="140"/>
        <w:jc w:val="center"/>
        <w:rPr>
          <w:i/>
          <w:color w:val="64748B"/>
          <w:sz w:val="16"/>
        </w:rPr>
      </w:pPr>
      <w:r>
        <w:rPr>
          <w:i/>
          <w:color w:val="64748B"/>
          <w:sz w:val="16"/>
        </w:rPr>
        <w:t>The pages behind the summary — left, how every figure was built up from base cost to loaded total; right, the itemised appendix down to unit rates. Both are issued with the plan.</w:t>
      </w:r>
    </w:p>
    <w:p w14:paraId="085C2E21" w14:textId="77777777" w:rsidR="0068604C" w:rsidRDefault="0068604C">
      <w:pPr>
        <w:spacing w:after="140"/>
        <w:jc w:val="center"/>
      </w:pPr>
    </w:p>
    <w:p w14:paraId="097A99D3" w14:textId="77777777" w:rsidR="0068604C" w:rsidRDefault="0068604C">
      <w:pPr>
        <w:spacing w:after="140"/>
        <w:jc w:val="center"/>
      </w:pPr>
    </w:p>
    <w:p w14:paraId="2BDBF426" w14:textId="1601C8AC" w:rsidR="0068604C" w:rsidRPr="0068604C" w:rsidRDefault="0068604C">
      <w:pPr>
        <w:spacing w:after="140"/>
        <w:jc w:val="center"/>
        <w:rPr>
          <w:b/>
          <w:bCs/>
        </w:rPr>
      </w:pPr>
      <w:r w:rsidRPr="0068604C">
        <w:rPr>
          <w:b/>
          <w:bCs/>
        </w:rPr>
        <w:t xml:space="preserve">Who uses </w:t>
      </w:r>
      <w:r w:rsidR="00320825">
        <w:rPr>
          <w:b/>
          <w:bCs/>
        </w:rPr>
        <w:t>the Retrofit Cost Plan</w:t>
      </w:r>
      <w:r w:rsidRPr="0068604C">
        <w:rPr>
          <w:b/>
          <w:bCs/>
        </w:rPr>
        <w:t xml:space="preserve"> and how </w:t>
      </w:r>
      <w:proofErr w:type="gramStart"/>
      <w:r w:rsidRPr="0068604C">
        <w:rPr>
          <w:b/>
          <w:bCs/>
        </w:rPr>
        <w:t>do</w:t>
      </w:r>
      <w:proofErr w:type="gramEnd"/>
      <w:r w:rsidRPr="0068604C">
        <w:rPr>
          <w:b/>
          <w:bCs/>
        </w:rPr>
        <w:t xml:space="preserve"> they use it?</w:t>
      </w:r>
    </w:p>
    <w:tbl>
      <w:tblPr>
        <w:tblStyle w:val="LightGrid-Accent1"/>
        <w:tblW w:w="0" w:type="auto"/>
        <w:tblLook w:val="04A0" w:firstRow="1" w:lastRow="0" w:firstColumn="1" w:lastColumn="0" w:noHBand="0" w:noVBand="1"/>
      </w:tblPr>
      <w:tblGrid>
        <w:gridCol w:w="4863"/>
        <w:gridCol w:w="4863"/>
      </w:tblGrid>
      <w:tr w:rsidR="00CB282D" w14:paraId="0D576FAF" w14:textId="77777777" w:rsidTr="00CB28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48866C0" w14:textId="77777777" w:rsidR="00CB282D" w:rsidRDefault="00000000">
            <w:r>
              <w:rPr>
                <w:sz w:val="19"/>
              </w:rPr>
              <w:t>Party</w:t>
            </w:r>
          </w:p>
        </w:tc>
        <w:tc>
          <w:tcPr>
            <w:tcW w:w="4873" w:type="dxa"/>
          </w:tcPr>
          <w:p w14:paraId="4FDA861A" w14:textId="77777777" w:rsidR="00CB282D" w:rsidRDefault="00000000">
            <w:pPr>
              <w:cnfStyle w:val="100000000000" w:firstRow="1" w:lastRow="0" w:firstColumn="0" w:lastColumn="0" w:oddVBand="0" w:evenVBand="0" w:oddHBand="0" w:evenHBand="0" w:firstRowFirstColumn="0" w:firstRowLastColumn="0" w:lastRowFirstColumn="0" w:lastRowLastColumn="0"/>
            </w:pPr>
            <w:r>
              <w:rPr>
                <w:sz w:val="19"/>
              </w:rPr>
              <w:t>How they use it</w:t>
            </w:r>
          </w:p>
        </w:tc>
      </w:tr>
      <w:tr w:rsidR="00CB282D" w14:paraId="1A6C7CB2" w14:textId="77777777" w:rsidTr="00CB28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gridSpan w:val="2"/>
            <w:shd w:val="clear" w:color="auto" w:fill="1E293B"/>
          </w:tcPr>
          <w:p w14:paraId="6E64570D" w14:textId="77777777" w:rsidR="00CB282D" w:rsidRDefault="00000000">
            <w:r>
              <w:rPr>
                <w:color w:val="FFFFFF"/>
                <w:sz w:val="17"/>
              </w:rPr>
              <w:t>PRODUCED BY</w:t>
            </w:r>
          </w:p>
        </w:tc>
      </w:tr>
      <w:tr w:rsidR="00CB282D" w14:paraId="373A847C" w14:textId="77777777" w:rsidTr="00CB28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FDF3E0"/>
          </w:tcPr>
          <w:p w14:paraId="4EF86C97" w14:textId="77777777" w:rsidR="00CB282D" w:rsidRDefault="00000000">
            <w:r>
              <w:rPr>
                <w:color w:val="1E293B"/>
                <w:sz w:val="19"/>
              </w:rPr>
              <w:t>BER Assessors</w:t>
            </w:r>
          </w:p>
        </w:tc>
        <w:tc>
          <w:tcPr>
            <w:tcW w:w="4873" w:type="dxa"/>
            <w:shd w:val="clear" w:color="auto" w:fill="FDF3E0"/>
          </w:tcPr>
          <w:p w14:paraId="2B6AB1FA" w14:textId="77777777" w:rsidR="00CB282D" w:rsidRDefault="00000000">
            <w:pPr>
              <w:cnfStyle w:val="000000010000" w:firstRow="0" w:lastRow="0" w:firstColumn="0" w:lastColumn="0" w:oddVBand="0" w:evenVBand="0" w:oddHBand="0" w:evenHBand="1" w:firstRowFirstColumn="0" w:firstRowLastColumn="0" w:lastRowFirstColumn="0" w:lastRowLastColumn="0"/>
            </w:pPr>
            <w:r>
              <w:rPr>
                <w:sz w:val="19"/>
              </w:rPr>
              <w:t>Add a costed plan to the advice they already give, issued with the BER documentation. Uses the survey already carried out; no return visit.</w:t>
            </w:r>
          </w:p>
        </w:tc>
      </w:tr>
      <w:tr w:rsidR="00CB282D" w14:paraId="2AEC204E" w14:textId="77777777" w:rsidTr="00CB28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gridSpan w:val="2"/>
            <w:shd w:val="clear" w:color="auto" w:fill="1E293B"/>
          </w:tcPr>
          <w:p w14:paraId="5AF95985" w14:textId="77777777" w:rsidR="00CB282D" w:rsidRDefault="00000000">
            <w:r>
              <w:rPr>
                <w:color w:val="FFFFFF"/>
                <w:sz w:val="17"/>
              </w:rPr>
              <w:t>FOR THE HOMEOWNER</w:t>
            </w:r>
          </w:p>
        </w:tc>
      </w:tr>
      <w:tr w:rsidR="00CB282D" w14:paraId="160E35E7" w14:textId="77777777" w:rsidTr="00CB28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F9E7C4"/>
          </w:tcPr>
          <w:p w14:paraId="3FA013C6" w14:textId="77777777" w:rsidR="00CB282D" w:rsidRDefault="00000000">
            <w:r>
              <w:rPr>
                <w:color w:val="1E293B"/>
                <w:sz w:val="19"/>
              </w:rPr>
              <w:t xml:space="preserve">Homeowners </w:t>
            </w:r>
          </w:p>
        </w:tc>
        <w:tc>
          <w:tcPr>
            <w:tcW w:w="4873" w:type="dxa"/>
            <w:shd w:val="clear" w:color="auto" w:fill="F9E7C4"/>
          </w:tcPr>
          <w:p w14:paraId="7B2358AF" w14:textId="77777777" w:rsidR="00CB282D"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See the estimated cost before engaging anyone, and judge a quote against an independent benchmark. It orients them at the start and gives them what they need to proceed. </w:t>
            </w:r>
          </w:p>
        </w:tc>
      </w:tr>
      <w:tr w:rsidR="00CB282D" w14:paraId="59590CD9" w14:textId="77777777" w:rsidTr="00CB28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gridSpan w:val="2"/>
            <w:shd w:val="clear" w:color="auto" w:fill="1E293B"/>
          </w:tcPr>
          <w:p w14:paraId="3A368A01" w14:textId="77777777" w:rsidR="00CB282D" w:rsidRDefault="00000000">
            <w:r>
              <w:rPr>
                <w:color w:val="FFFFFF"/>
                <w:sz w:val="17"/>
              </w:rPr>
              <w:t>ALSO RELIED ON BY</w:t>
            </w:r>
          </w:p>
        </w:tc>
      </w:tr>
      <w:tr w:rsidR="00CB282D" w14:paraId="2C8A3CD4" w14:textId="77777777" w:rsidTr="00CB28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84EBB6C" w14:textId="77777777" w:rsidR="00CB282D" w:rsidRDefault="00000000">
            <w:r>
              <w:rPr>
                <w:color w:val="1E293B"/>
                <w:sz w:val="19"/>
              </w:rPr>
              <w:t>Contractors — Better Energy Homes, CEG and One Stop Shop</w:t>
            </w:r>
          </w:p>
        </w:tc>
        <w:tc>
          <w:tcPr>
            <w:tcW w:w="4873" w:type="dxa"/>
          </w:tcPr>
          <w:p w14:paraId="0F78E8DE" w14:textId="77777777" w:rsidR="00CB282D" w:rsidRDefault="00000000">
            <w:pPr>
              <w:cnfStyle w:val="000000010000" w:firstRow="0" w:lastRow="0" w:firstColumn="0" w:lastColumn="0" w:oddVBand="0" w:evenVBand="0" w:oddHBand="0" w:evenHBand="1" w:firstRowFirstColumn="0" w:firstRowLastColumn="0" w:lastRowFirstColumn="0" w:lastRowLastColumn="0"/>
            </w:pPr>
            <w:r>
              <w:rPr>
                <w:sz w:val="19"/>
              </w:rPr>
              <w:t>The same defined scope in front of every competitor pricing the job. Fewer wasted site visits, fewer scope disputes, and no losing work to a quote that only looks cheaper.</w:t>
            </w:r>
          </w:p>
        </w:tc>
      </w:tr>
      <w:tr w:rsidR="00CB282D" w14:paraId="003BB34F" w14:textId="77777777" w:rsidTr="00CB28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E4C62FD" w14:textId="77777777" w:rsidR="00CB282D" w:rsidRDefault="00000000">
            <w:r>
              <w:rPr>
                <w:color w:val="1E293B"/>
                <w:sz w:val="19"/>
              </w:rPr>
              <w:t>Banks &amp; Credit Unions</w:t>
            </w:r>
          </w:p>
        </w:tc>
        <w:tc>
          <w:tcPr>
            <w:tcW w:w="4873" w:type="dxa"/>
          </w:tcPr>
          <w:p w14:paraId="637E52CF" w14:textId="77777777" w:rsidR="00CB282D" w:rsidRDefault="00000000">
            <w:pPr>
              <w:cnfStyle w:val="000000100000" w:firstRow="0" w:lastRow="0" w:firstColumn="0" w:lastColumn="0" w:oddVBand="0" w:evenVBand="0" w:oddHBand="1" w:evenHBand="0" w:firstRowFirstColumn="0" w:firstRowLastColumn="0" w:lastRowFirstColumn="0" w:lastRowLastColumn="0"/>
            </w:pPr>
            <w:r>
              <w:rPr>
                <w:sz w:val="19"/>
              </w:rPr>
              <w:t>A consistent, contractor-independent cost document for green loan applications.</w:t>
            </w:r>
          </w:p>
        </w:tc>
      </w:tr>
      <w:tr w:rsidR="00CB282D" w14:paraId="027C52F2" w14:textId="77777777" w:rsidTr="00CB28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0D5A8497" w14:textId="77777777" w:rsidR="00CB282D" w:rsidRDefault="00000000">
            <w:r>
              <w:rPr>
                <w:color w:val="1E293B"/>
                <w:sz w:val="19"/>
              </w:rPr>
              <w:t>Local Authorities &amp; AHBs</w:t>
            </w:r>
          </w:p>
        </w:tc>
        <w:tc>
          <w:tcPr>
            <w:tcW w:w="4873" w:type="dxa"/>
          </w:tcPr>
          <w:p w14:paraId="649D52BF" w14:textId="77777777" w:rsidR="00CB282D" w:rsidRDefault="00000000">
            <w:pPr>
              <w:cnfStyle w:val="000000010000" w:firstRow="0" w:lastRow="0" w:firstColumn="0" w:lastColumn="0" w:oddVBand="0" w:evenVBand="0" w:oddHBand="0" w:evenHBand="1" w:firstRowFirstColumn="0" w:firstRowLastColumn="0" w:lastRowFirstColumn="0" w:lastRowLastColumn="0"/>
            </w:pPr>
            <w:r>
              <w:rPr>
                <w:sz w:val="19"/>
              </w:rPr>
              <w:t>Bulk estimation and budget forecasting for estate programmes.</w:t>
            </w:r>
          </w:p>
        </w:tc>
      </w:tr>
      <w:tr w:rsidR="00CB282D" w14:paraId="474643D0" w14:textId="77777777" w:rsidTr="00CB28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686C6A2" w14:textId="77777777" w:rsidR="00CB282D" w:rsidRDefault="00000000">
            <w:r>
              <w:rPr>
                <w:color w:val="1E293B"/>
                <w:sz w:val="19"/>
              </w:rPr>
              <w:t>SEAI</w:t>
            </w:r>
          </w:p>
        </w:tc>
        <w:tc>
          <w:tcPr>
            <w:tcW w:w="4873" w:type="dxa"/>
          </w:tcPr>
          <w:p w14:paraId="2B7F21F3" w14:textId="77777777" w:rsidR="00CB282D" w:rsidRDefault="00000000">
            <w:pPr>
              <w:cnfStyle w:val="000000100000" w:firstRow="0" w:lastRow="0" w:firstColumn="0" w:lastColumn="0" w:oddVBand="0" w:evenVBand="0" w:oddHBand="1" w:evenHBand="0" w:firstRowFirstColumn="0" w:firstRowLastColumn="0" w:lastRowFirstColumn="0" w:lastRowLastColumn="0"/>
            </w:pPr>
            <w:r>
              <w:rPr>
                <w:sz w:val="19"/>
              </w:rPr>
              <w:t>Real-market cost evidence to calibrate grant rates, and a consistent way to show homeowners what an upgrade is likely to cost.</w:t>
            </w:r>
          </w:p>
        </w:tc>
      </w:tr>
    </w:tbl>
    <w:p w14:paraId="1662F323" w14:textId="77777777" w:rsidR="0068604C" w:rsidRDefault="0068604C">
      <w:pPr>
        <w:spacing w:before="280" w:after="80"/>
        <w:rPr>
          <w:b/>
          <w:color w:val="B07D1A"/>
          <w:sz w:val="30"/>
        </w:rPr>
      </w:pPr>
    </w:p>
    <w:p w14:paraId="6DA468E9" w14:textId="338BD479" w:rsidR="00CB282D" w:rsidRDefault="00000000">
      <w:pPr>
        <w:spacing w:before="280" w:after="80"/>
      </w:pPr>
      <w:r>
        <w:rPr>
          <w:b/>
          <w:color w:val="B07D1A"/>
          <w:sz w:val="30"/>
        </w:rPr>
        <w:t>3. The pilot</w:t>
      </w:r>
    </w:p>
    <w:p w14:paraId="5759B77E" w14:textId="77777777" w:rsidR="00CB282D" w:rsidRDefault="00000000">
      <w:pPr>
        <w:spacing w:after="100"/>
      </w:pPr>
      <w:r>
        <w:t>The pilot exists to answer one question before any other: does a Retrofit Cost Plan get more homeowners to proceed? Everything else it does — proving the accuracy, tuning the rates and grant tables against real prices, completing the remaining development — supports that answer and makes what SEAI is asked to recognise defensible.</w:t>
      </w:r>
    </w:p>
    <w:p w14:paraId="27E13890" w14:textId="77777777" w:rsidR="00CB282D" w:rsidRDefault="00000000">
      <w:pPr>
        <w:pStyle w:val="ListBullet"/>
      </w:pPr>
      <w:r>
        <w:rPr>
          <w:b/>
          <w:color w:val="1E293B"/>
        </w:rPr>
        <w:t>Prove that it moves homeowners to act.</w:t>
      </w:r>
      <w:r>
        <w:t xml:space="preserve"> Track progression from assessment to grant application against a matched group assessed in the same period without a Cost Plan. Record where the plan was used to compare or renegotiate a quote, and the final contracted price against the estimate. This is the measure the pilot stands or falls on.</w:t>
      </w:r>
    </w:p>
    <w:p w14:paraId="0643B359" w14:textId="77777777" w:rsidR="00CB282D" w:rsidRDefault="00000000">
      <w:pPr>
        <w:pStyle w:val="ListBullet"/>
      </w:pPr>
      <w:r>
        <w:rPr>
          <w:b/>
          <w:color w:val="1E293B"/>
        </w:rPr>
        <w:t>Validate accuracy.</w:t>
      </w:r>
      <w:r>
        <w:t xml:space="preserve"> 50–100 live projects against real contractor quotes, across dwelling types, age bands, counties, and all three routes. Publish the error distribution per measure, not an average.</w:t>
      </w:r>
    </w:p>
    <w:p w14:paraId="6E44184C" w14:textId="77777777" w:rsidR="00CB282D" w:rsidRDefault="00000000">
      <w:pPr>
        <w:pStyle w:val="ListBullet"/>
      </w:pPr>
      <w:r>
        <w:rPr>
          <w:b/>
          <w:color w:val="1E293B"/>
        </w:rPr>
        <w:t>Tune the rate book and grant tables.</w:t>
      </w:r>
      <w:r>
        <w:t xml:space="preserve"> Correct what prices high or low, dated and recorded. Test CEG against real coordinator rates rather than assumed ones, and establish what a One Stop Shop actually charges over a coordinated project — both currently carried as working assumptions — so that the value of coordinated delivery can be demonstrated rather than guessed at.</w:t>
      </w:r>
    </w:p>
    <w:p w14:paraId="456519F0" w14:textId="77777777" w:rsidR="00CB282D" w:rsidRDefault="00000000">
      <w:pPr>
        <w:pStyle w:val="ListBullet"/>
      </w:pPr>
      <w:r>
        <w:rPr>
          <w:b/>
          <w:color w:val="1E293B"/>
        </w:rPr>
        <w:t>Prove the assessor workflow.</w:t>
      </w:r>
      <w:r>
        <w:t xml:space="preserve"> A Cost Plan produced from the existing survey, without a return visit or specialist QS knowledge, issued with the BER documentation.</w:t>
      </w:r>
    </w:p>
    <w:p w14:paraId="52A0EF9E" w14:textId="77777777" w:rsidR="00CB282D" w:rsidRDefault="00000000">
      <w:pPr>
        <w:pStyle w:val="ListBullet"/>
      </w:pPr>
      <w:r>
        <w:rPr>
          <w:b/>
          <w:color w:val="1E293B"/>
        </w:rPr>
        <w:t>Capture the actual-cost dataset.</w:t>
      </w:r>
      <w:r>
        <w:t xml:space="preserve"> Estimated-versus-actual per measure and per county — data recorded as part of the trial.</w:t>
      </w:r>
    </w:p>
    <w:p w14:paraId="03155BAA" w14:textId="77777777" w:rsidR="00CB282D" w:rsidRDefault="00000000">
      <w:pPr>
        <w:pStyle w:val="ListBullet"/>
      </w:pPr>
      <w:r>
        <w:rPr>
          <w:b/>
          <w:color w:val="1E293B"/>
        </w:rPr>
        <w:t>Complete the development.</w:t>
      </w:r>
      <w:r>
        <w:t xml:space="preserve"> The Retrofit Cost Plan for Energy Upgrade is ready now; Refurbishment and New Build Cost Plans are in advanced development on the same engine.</w:t>
      </w:r>
    </w:p>
    <w:p w14:paraId="656A455F" w14:textId="77777777" w:rsidR="00CB282D" w:rsidRDefault="00000000">
      <w:pPr>
        <w:spacing w:after="100"/>
      </w:pPr>
      <w:r>
        <w:rPr>
          <w:b/>
          <w:color w:val="1E293B"/>
        </w:rPr>
        <w:t>Success criteria, stated in advance.</w:t>
      </w:r>
      <w:r>
        <w:t xml:space="preserve"> The measure that matters most is homeowner progression — homeowners issued a Cost Plan progress to grant application at a higher rate than a matched group assessed in the same period without one, against a threshold agreed with SEAI before the pilot begins. Alongside it sits homeowner outcome: whether the plan was used to compare or renegotiate a quote, and how the final contracted price compares with the estimate. Then accuracy within the published band on ≥80% of projects; a Cost Plan issued with the BER documentation on ≥90% of assessments with no return visit; and a documented rate-correction cycle completed. </w:t>
      </w:r>
      <w:r>
        <w:rPr>
          <w:b/>
          <w:color w:val="1E293B"/>
        </w:rPr>
        <w:t>Timeline:</w:t>
      </w:r>
      <w:r>
        <w:t xml:space="preserve"> six months from approval. Most upgrades complete after that window, so progression to grant application is the six-month measure, with completion tracked beyond it.</w:t>
      </w:r>
    </w:p>
    <w:p w14:paraId="38F44BB2" w14:textId="77777777" w:rsidR="00CB282D" w:rsidRDefault="00000000">
      <w:pPr>
        <w:spacing w:after="100"/>
      </w:pPr>
      <w:r>
        <w:rPr>
          <w:b/>
          <w:color w:val="1E293B"/>
        </w:rPr>
        <w:t>The funding ask.</w:t>
      </w:r>
      <w:r>
        <w:t xml:space="preserve"> We are asking SEAI to fund the pilot and deliver it with us — recruiting assessors, collecting and verifying matched quotes and out-turn costs, tuning the tables, completing development, and independent analysis. Not the building of PlanitBER, which is paid for. It is worth funding because it produces the evidence that would justify endorsement, it produces a public asset in the cost dataset, and a jointly delivered pilot carries far more weight than one run by a private firm alone.</w:t>
      </w:r>
    </w:p>
    <w:p w14:paraId="0F08B1A7" w14:textId="77777777" w:rsidR="00CB282D" w:rsidRDefault="00000000">
      <w:pPr>
        <w:spacing w:after="100"/>
      </w:pPr>
      <w:r>
        <w:rPr>
          <w:b/>
          <w:color w:val="1E293B"/>
        </w:rPr>
        <w:t>Governance and risk.</w:t>
      </w:r>
      <w:r>
        <w:t xml:space="preserve"> We would welcome a formal SEAI role in governing the method — the rate book, the grant tables, their sources, and every revision open to review, with changes published and dated; annual approval if SEAI prefers. Every Cost Plan is labelled an indicative estimate with its accuracy band on its face, and states plainly that access, hidden defects and enabling works found on site can move the final figure and that a contractor’s quotation remains the priced offer, and Turley Energy Consultants carries professional indemnity insurance; recognition would carry no liability for SEAI. The rate book is maintained centrally and is not editable by assessors: an assessor selects or removes measures, and the rates applied to them are the published ones. Every plan states </w:t>
      </w:r>
      <w:r>
        <w:lastRenderedPageBreak/>
        <w:t>the version of the rate book it was priced on. Data shared with SEAI is aggregated and anonymised, with homeowner consent.</w:t>
      </w:r>
    </w:p>
    <w:p w14:paraId="5B93F9CE" w14:textId="77777777" w:rsidR="00CB282D" w:rsidRDefault="00000000">
      <w:pPr>
        <w:spacing w:after="100"/>
      </w:pPr>
      <w:r>
        <w:rPr>
          <w:b/>
          <w:color w:val="1E293B"/>
        </w:rPr>
        <w:t>Access and commercial basis.</w:t>
      </w:r>
      <w:r>
        <w:t xml:space="preserve"> The Retrofit Cost Plan is produced by the BER assessor and charged to the homeowner. It is a flat fee per plan — deliberately not a percentage of project value — so that no party producing the plan has any financial interest in the number of measures recommended or the size of the project. On the projects in this pack that is a fraction of one per cent of the works cost, and we would welcome SEAI's view on whether it belongs alongside the existing technical assessment and post-works BER grants. The Cost Plan is advisory — no works, no supply, no contractor selection — so it does not bring the assessor within a larger project offering, and we would welcome SEAI's confirmation that it sits within the BER Code of Practice. The plan fee is the only revenue in the model: no commission, referral fee, lead-generation payment, contractor advertising, sale of data, or upsell, from any contractor, One Stop Shop, Project Coordinator, or lender. The homeowner is the only party who pays for the plan, and independence from everyone selling the works will not be compromised. If it becomes national infrastructure, we would welcome agreeing a sustainable basis for maintaining it under SEAI's oversight, and the cost dataset it produces is SEAI's to hold and publish.</w:t>
      </w:r>
    </w:p>
    <w:p w14:paraId="56E33F22" w14:textId="77777777" w:rsidR="00CB282D" w:rsidRDefault="00000000">
      <w:pPr>
        <w:spacing w:before="280" w:after="80"/>
      </w:pPr>
      <w:r>
        <w:rPr>
          <w:b/>
          <w:color w:val="B07D1A"/>
          <w:sz w:val="30"/>
        </w:rPr>
        <w:t>4. What it can become</w:t>
      </w:r>
    </w:p>
    <w:p w14:paraId="66F9D962" w14:textId="77777777" w:rsidR="00CB282D" w:rsidRDefault="00000000">
      <w:pPr>
        <w:spacing w:after="100"/>
      </w:pPr>
      <w:r>
        <w:t>Ireland completes well over 100,000 assessments a year, and few leave the homeowner with a costed budget. Recognition would make the Retrofit Cost Plan the consistent format in which that number is given nationwide — the examples in this pack come from two counties at opposite ends of the labour-cost range, to show the same specification correctly regionalised.</w:t>
      </w:r>
    </w:p>
    <w:p w14:paraId="1A15833C" w14:textId="77777777" w:rsidR="00CB282D" w:rsidRDefault="00000000">
      <w:pPr>
        <w:spacing w:after="100"/>
      </w:pPr>
      <w:r>
        <w:t>At scale the estimated-versus-actual dataset becomes a live index of retrofit costs by measure, dwelling type, and county: the reference SEAI needs to calibrate grant rates and demonstrate value for money. Beyond that, SEAI's eligibility rules can be built into the method, so a plan that prices a grant is a plan that qualifies for it — and the Cost Plan becomes the standard cost document for retrofit lending that banks currently lack.</w:t>
      </w:r>
    </w:p>
    <w:p w14:paraId="46584739" w14:textId="77777777" w:rsidR="00CB282D" w:rsidRDefault="00000000">
      <w:pPr>
        <w:spacing w:after="100"/>
      </w:pPr>
      <w:r>
        <w:rPr>
          <w:b/>
          <w:color w:val="1E293B"/>
        </w:rPr>
        <w:t>The path we propose:</w:t>
      </w:r>
    </w:p>
    <w:p w14:paraId="43B138EA" w14:textId="77777777" w:rsidR="00CB282D" w:rsidRDefault="00000000">
      <w:pPr>
        <w:spacing w:after="100"/>
        <w:ind w:left="454" w:hanging="454"/>
      </w:pPr>
      <w:r>
        <w:rPr>
          <w:b/>
          <w:color w:val="1E293B"/>
        </w:rPr>
        <w:t>1.  Funded pilot</w:t>
      </w:r>
      <w:r>
        <w:t xml:space="preserve"> — accuracy report, tuned rates and grant tables, actual-cost dataset, rate governance.</w:t>
      </w:r>
    </w:p>
    <w:p w14:paraId="00E12F5F" w14:textId="77777777" w:rsidR="00CB282D" w:rsidRDefault="00000000">
      <w:pPr>
        <w:spacing w:after="100"/>
        <w:ind w:left="454" w:hanging="454"/>
      </w:pPr>
      <w:r>
        <w:rPr>
          <w:b/>
          <w:color w:val="1E293B"/>
        </w:rPr>
        <w:t>2.  Recognition</w:t>
      </w:r>
      <w:r>
        <w:t xml:space="preserve"> — the Retrofit Cost Plan as a standard cost document, on a published method that any competent tool can be held to.</w:t>
      </w:r>
    </w:p>
    <w:p w14:paraId="59E2F221" w14:textId="77777777" w:rsidR="00CB282D" w:rsidRDefault="00000000">
      <w:pPr>
        <w:spacing w:after="100"/>
        <w:ind w:left="454" w:hanging="454"/>
      </w:pPr>
      <w:r>
        <w:rPr>
          <w:b/>
          <w:color w:val="1E293B"/>
        </w:rPr>
        <w:t>3.  Wider role</w:t>
      </w:r>
      <w:r>
        <w:t xml:space="preserve"> — subject to proven accuracy, supporting retrofit lending and, if SEAI judges it useful, the grant application process.</w:t>
      </w:r>
    </w:p>
    <w:p w14:paraId="726FB2AE" w14:textId="77777777" w:rsidR="00CB282D" w:rsidRDefault="00000000">
      <w:pPr>
        <w:spacing w:after="100"/>
      </w:pPr>
      <w:r>
        <w:t>Each step produces something concrete before the next is asked for. We are seeking a partner rather than a customer: joint delivery, shared oversight, findings that belong to the sector. A standard the industry trusts is one SEAI stands over, and we would rather build that with SEAI than alongside it.</w:t>
      </w:r>
    </w:p>
    <w:p w14:paraId="4226A895" w14:textId="77777777" w:rsidR="00CB282D" w:rsidRDefault="00000000">
      <w:pPr>
        <w:spacing w:after="100"/>
      </w:pPr>
      <w:r>
        <w:rPr>
          <w:b/>
          <w:color w:val="1E293B"/>
        </w:rPr>
        <w:t>Next step.</w:t>
      </w:r>
      <w:r>
        <w:t xml:space="preserve"> We would welcome a meeting to walk through the worked examples and discuss what a pilot would need to look like on SEAI's terms.</w:t>
      </w:r>
    </w:p>
    <w:p w14:paraId="601E4135" w14:textId="77777777" w:rsidR="00CB282D" w:rsidRDefault="00000000">
      <w:pPr>
        <w:spacing w:after="100"/>
      </w:pPr>
      <w:r>
        <w:rPr>
          <w:i/>
        </w:rPr>
        <w:t>PlanitBER V1 · Turley Energy Consultants · Indicative accuracy ±15–20% (to be evidenced in pilot) · Independent estimate — not prepared by any contractor · Not a substitute for a formal QS report</w:t>
      </w:r>
    </w:p>
    <w:sectPr w:rsidR="00CB282D"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5906762">
    <w:abstractNumId w:val="8"/>
  </w:num>
  <w:num w:numId="2" w16cid:durableId="1675957670">
    <w:abstractNumId w:val="6"/>
  </w:num>
  <w:num w:numId="3" w16cid:durableId="635335434">
    <w:abstractNumId w:val="5"/>
  </w:num>
  <w:num w:numId="4" w16cid:durableId="1694261031">
    <w:abstractNumId w:val="4"/>
  </w:num>
  <w:num w:numId="5" w16cid:durableId="857163341">
    <w:abstractNumId w:val="7"/>
  </w:num>
  <w:num w:numId="6" w16cid:durableId="755133819">
    <w:abstractNumId w:val="3"/>
  </w:num>
  <w:num w:numId="7" w16cid:durableId="1825050992">
    <w:abstractNumId w:val="2"/>
  </w:num>
  <w:num w:numId="8" w16cid:durableId="1195311733">
    <w:abstractNumId w:val="1"/>
  </w:num>
  <w:num w:numId="9" w16cid:durableId="2141990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E6F"/>
    <w:rsid w:val="0015074B"/>
    <w:rsid w:val="001E63E1"/>
    <w:rsid w:val="0029639D"/>
    <w:rsid w:val="00320825"/>
    <w:rsid w:val="00326F90"/>
    <w:rsid w:val="003B4D4B"/>
    <w:rsid w:val="003C5BEA"/>
    <w:rsid w:val="00467825"/>
    <w:rsid w:val="006441EB"/>
    <w:rsid w:val="006520FC"/>
    <w:rsid w:val="00663E16"/>
    <w:rsid w:val="0068604C"/>
    <w:rsid w:val="008E28F1"/>
    <w:rsid w:val="00AA1D8D"/>
    <w:rsid w:val="00B47730"/>
    <w:rsid w:val="00BA6ED8"/>
    <w:rsid w:val="00BE7C6B"/>
    <w:rsid w:val="00CB0664"/>
    <w:rsid w:val="00CB282D"/>
    <w:rsid w:val="00CD5F4B"/>
    <w:rsid w:val="00D23FD8"/>
    <w:rsid w:val="00E72B4F"/>
    <w:rsid w:val="00EC3C3F"/>
    <w:rsid w:val="00F609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97FC7A"/>
  <w14:defaultImageDpi w14:val="300"/>
  <w15:docId w15:val="{7B2FB92D-2A09-4A61-AEC5-7A5FA1DBE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47556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2167</Words>
  <Characters>12356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Turley</cp:lastModifiedBy>
  <cp:revision>2</cp:revision>
  <dcterms:created xsi:type="dcterms:W3CDTF">2026-08-07T08:37:00Z</dcterms:created>
  <dcterms:modified xsi:type="dcterms:W3CDTF">2026-08-07T08:37:00Z</dcterms:modified>
  <cp:category/>
</cp:coreProperties>
</file>