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 xml:space="preserve">The </w:t>
      </w:r>
      <w:r>
        <w:rPr>
          <w:b/>
          <w:color w:val="1E293B"/>
        </w:rPr>
        <w:t>Retrofit Cost Plan</w:t>
      </w:r>
      <w:r>
        <w:t xml:space="preserve"> gives all of them one document, built on one published method, that each can read from their own side. It sets out the cost of every recommended measure, the SEAI grant against it, and the net figure the homeowner must fund — itemised in the format a quantity surveyor would use, and independent of anyone selling the works.</w:t>
      </w:r>
    </w:p>
    <w:p>
      <w:pPr>
        <w:spacing w:after="120"/>
      </w:pPr>
      <w:r>
        <w:t xml:space="preserve">It is produced by the </w:t>
      </w:r>
      <w:r>
        <w:rPr>
          <w:b/>
          <w:color w:val="1E293B"/>
        </w:rPr>
        <w:t>BER assessor</w:t>
      </w:r>
      <w:r>
        <w:t xml:space="preserve"> from the survey they have already carried out, using PlanitBER: software built by practising BER assessors, for the people who do this work every day.</w:t>
      </w:r>
    </w:p>
    <w:p>
      <w:pPr>
        <w:spacing w:after="120"/>
      </w:pPr>
      <w:r>
        <w:rPr>
          <w:b/>
          <w:color w:val="1E293B"/>
        </w:rPr>
        <w:t>What we are asking of SEAI:</w:t>
      </w:r>
      <w:r>
        <w:t xml:space="preserve"> a funded pilot partnership, leading to recognition of the Retrofit Cost Plan as a standard cost document for Irish home retrofit — and of PlanitBER as the means of producing it.</w:t>
      </w:r>
    </w:p>
    <w:p>
      <w:pPr>
        <w:spacing w:after="120"/>
      </w:pPr>
      <w:r>
        <w:t>Every figure in this pack was produced by working software, and that software is at demonstration stage. The pilot is what takes it from a demonstration to something the sector can rely on: rates and grant tables tuned against real prices, the method independently evidenced, and the remaining development completed. We are not asking SEAI to fund an idea. We are asking SEAI to help finish and prove something that already works.</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Three things stop homes being upgraded.</w:t>
      </w:r>
    </w:p>
    <w:p>
      <w:pPr>
        <w:spacing w:after="120"/>
      </w:pPr>
      <w:r>
        <w:rPr>
          <w:b/>
          <w:color w:val="1E293B"/>
        </w:rPr>
        <w:t>1. Cost uncertainty stops homeowners acting.</w:t>
      </w:r>
    </w:p>
    <w:p>
      <w:pPr>
        <w:spacing w:after="120"/>
      </w:pPr>
      <w:r>
        <w:t>A home energy assessment identifies what needs upgrading, but puts no price on it. Homeowners don't know whether the work in front of them means €8,000 or €80,000. Without a credible number they don't apply for grants, don't approach their bank, and don't proceed. The decision stalls at the budget question, and there is no trusted, independent answer to it.</w:t>
      </w:r>
    </w:p>
    <w:p>
      <w:pPr>
        <w:spacing w:after="120"/>
      </w:pPr>
      <w:r>
        <w:rPr>
          <w:b/>
          <w:color w:val="1E293B"/>
        </w:rPr>
        <w:t>2. Without a reference point, a fair quote and an inflated one look identical.</w:t>
      </w:r>
    </w:p>
    <w:p>
      <w:pPr>
        <w:spacing w:after="120"/>
      </w:pPr>
      <w:r>
        <w:t>Homeowners have nothing to measure a price against, so suspicion attaches to every quote — including the great majority that are entirely fair. That costs honest contractors twice: they lose work to competitors who appear cheaper only because items were quietly left out, and they spend unpaid hours pricing enquiries whose budget expectations were never realistic. It costs the scheme too, because homeowners who suspect the grant simply becomes someone else's margin walk away.</w:t>
      </w:r>
    </w:p>
    <w:p>
      <w:pPr>
        <w:spacing w:after="120"/>
      </w:pPr>
      <w:r>
        <w:rPr>
          <w:b/>
          <w:color w:val="1E293B"/>
        </w:rPr>
        <w:t>3. Nothing bridges assessment and action.</w:t>
      </w:r>
    </w:p>
    <w:p>
      <w:pPr>
        <w:spacing w:after="120"/>
      </w:pPr>
      <w:r>
        <w:t>The assessor surveys the home and advises on the improvements that would raise its rating. The homeowner is left with a list of recommendations and no way to act on them. The window in which they are most motivated closes before they have the one number they need.</w:t>
      </w:r>
    </w:p>
    <w:p>
      <w:pPr>
        <w:spacing w:before="200" w:after="60"/>
      </w:pPr>
      <w:r>
        <w:rPr>
          <w:b/>
          <w:color w:val="1E293B"/>
          <w:sz w:val="24"/>
        </w:rPr>
        <w:t>How the Retrofit Cost Plan answers them</w:t>
      </w:r>
    </w:p>
    <w:p>
      <w:pPr>
        <w:spacing w:after="120"/>
      </w:pPr>
      <w:r>
        <w:t>It is built from survey geometry the assessor has already measured — floor, wall, roof and window areas, age band and heat loss indicator — against a measure list that mirrors SEAI's grant structure.</w:t>
      </w:r>
    </w:p>
    <w:p>
      <w:pPr>
        <w:spacing w:after="120"/>
      </w:pPr>
      <w:r>
        <w:rPr>
          <w:b/>
          <w:color w:val="1E293B"/>
        </w:rPr>
        <w:t>1. It gives a credible number.</w:t>
      </w:r>
    </w:p>
    <w:p>
      <w:pPr>
        <w:spacing w:after="120"/>
      </w:pPr>
      <w:r>
        <w:t>An itemised budget, measure by measure, using county-adjusted labour rates and current Irish material pricing. Every figure is fully loaded: contractor's overhead and profit at 12%, contingency at 10%, and VAT at 13.5% (Solar PV at 0% per Revenue ruling). Heat pumps are sized from the Heat Loss Indicator to IS EN 12831 rather than estimated from floor area. The homeowner sees the cost of each measure, the grant against it, and the net figure they must fund.</w:t>
      </w:r>
    </w:p>
    <w:p>
      <w:pPr>
        <w:spacing w:after="120"/>
      </w:pPr>
      <w:r>
        <w:rPr>
          <w:b/>
          <w:color w:val="1E293B"/>
        </w:rPr>
        <w:t>2. It gives everyone the same reference point.</w:t>
      </w:r>
    </w:p>
    <w:p>
      <w:pPr>
        <w:spacing w:after="120"/>
      </w:pPr>
      <w:r>
        <w:t>Costs are set out independently of anyone selling the works, with grants deducted line by line. The homeowner can judge whether a quote is reasonable. The contractor prices a defined scope that every competitor is pricing too, with a published rate basis to stand over their figure when it is queried. Comparable quotes reward the contractor who priced the job properly rather than the one who left most out.</w:t>
      </w:r>
    </w:p>
    <w:p>
      <w:pPr>
        <w:spacing w:after="120"/>
      </w:pPr>
      <w:r>
        <w:rPr>
          <w:b/>
          <w:color w:val="1E293B"/>
        </w:rPr>
        <w:t>3. It closes the gap between advice and action.</w:t>
      </w:r>
    </w:p>
    <w:p>
      <w:pPr>
        <w:spacing w:after="120"/>
      </w:pPr>
      <w:r>
        <w:t>The plan is produced from the survey already carried out — no return visit, no re-measuring, no specialist quantity surveying knowledge — and is issued to the homeowner with the BER documentation, as part of the same job.</w:t>
      </w:r>
    </w:p>
    <w:p>
      <w:pPr>
        <w:spacing w:before="200" w:after="60"/>
      </w:pPr>
      <w:r>
        <w:rPr>
          <w:b/>
          <w:color w:val="1E293B"/>
          <w:sz w:val="24"/>
        </w:rPr>
        <w:t>One document, and the sector is on the same page</w:t>
      </w:r>
    </w:p>
    <w:p>
      <w:pPr>
        <w:spacing w:after="120"/>
      </w:pPr>
      <w:r>
        <w:t>The wider prize is alignment. Retrofit is delivered by professions that rarely share a document: assessors, contractors, One Stop Shops, lenders and SEAI each hold a different part of the picture, and none of it reconciles.</w:t>
      </w:r>
    </w:p>
    <w:p>
      <w:pPr>
        <w:spacing w:after="120"/>
      </w:pPr>
      <w:r>
        <w:t>A single recognised cost document changes that. The assessor's advice, the contractor's quote, the homeowner's budget, the lender's file and SEAI's grant all reference the same itemised scope and the same published rates:</w:t>
      </w:r>
    </w:p>
    <w:p>
      <w:pPr>
        <w:pStyle w:val="ListBullet"/>
      </w:pPr>
      <w:r>
        <w:rPr>
          <w:b/>
          <w:color w:val="1E293B"/>
        </w:rPr>
        <w:t>The homeowner</w:t>
      </w:r>
      <w:r>
        <w:t xml:space="preserve"> sees the cost of each measure, the grant against it, and the net figure to fund.</w:t>
      </w:r>
    </w:p>
    <w:p>
      <w:pPr>
        <w:pStyle w:val="ListBullet"/>
      </w:pPr>
      <w:r>
        <w:rPr>
          <w:b/>
          <w:color w:val="1E293B"/>
        </w:rPr>
        <w:t>The contractor</w:t>
      </w:r>
      <w:r>
        <w:t xml:space="preserve"> prices a defined scope that every competitor is pricing too.</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after="120"/>
      </w:pPr>
      <w:r>
        <w:t>Disputes fall because there is something agreed to point at. Trust rises because everyone can see the same working. That is a benefit to the sector rather than a feature of a product, and it is why SEAI's endorsement matters more than any amount of marketing on our side.</w:t>
      </w:r>
    </w:p>
    <w:p>
      <w:pPr>
        <w:spacing w:before="200" w:after="60"/>
      </w:pPr>
      <w:r>
        <w:rPr>
          <w:b/>
          <w:color w:val="1E293B"/>
          <w:sz w:val="24"/>
        </w:rPr>
        <w:t>What it looks like</w:t>
      </w:r>
    </w:p>
    <w:p>
      <w:pPr>
        <w:spacing w:after="120"/>
      </w:pPr>
      <w:r>
        <w:t xml:space="preserve">The Retrofit Cost Plan is a single document that </w:t>
      </w:r>
      <w:r>
        <w:rPr>
          <w:b/>
          <w:color w:val="1E293B"/>
        </w:rPr>
        <w:t>reconciles to the euro at every level</w:t>
      </w:r>
      <w:r>
        <w:t>:</w:t>
      </w:r>
    </w:p>
    <w:p>
      <w:pPr>
        <w:pStyle w:val="ListBullet"/>
      </w:pPr>
      <w:r>
        <w:rPr>
          <w:b/>
          <w:color w:val="1E293B"/>
        </w:rPr>
        <w:t>Page 1 — the homeowner's summary.</w:t>
      </w:r>
      <w:r>
        <w:t xml:space="preserve"> One row per measure showing scope, estimated spend, SEAI grant and net cost, with an actual-spend column for tracking works as they progress. Written to be read by homeowner, lender and contractor alike, and complete on its own if that is all someone needs.</w:t>
      </w:r>
    </w:p>
    <w:p>
      <w:pPr>
        <w:pStyle w:val="ListBullet"/>
      </w:pPr>
      <w:r>
        <w:rPr>
          <w:b/>
          <w:color w:val="1E293B"/>
        </w:rPr>
        <w:t>The pages that follow — the evidence.</w:t>
      </w:r>
      <w:r>
        <w:t xml:space="preserve"> The full loading methodology, with a total that ties exactly to the headline figure, and an itemised appendix giving every line item with its quantity, unit, material rate and labour rate. Any figure questioned can be traced from the headline down to a unit rate.</w:t>
      </w:r>
    </w:p>
    <w:p>
      <w:pPr>
        <w:spacing w:after="120"/>
      </w:pPr>
      <w:r>
        <w:t>The homeowner's page and the evidence behind it stay in one document, so the two can never drift apart.</w:t>
      </w:r>
    </w:p>
    <w:p>
      <w:pPr>
        <w:spacing w:after="120"/>
      </w:pPr>
      <w:r>
        <w:t>Alongside these: a per-measure grant breakdown for whichever scheme applies, and the SEAI-registered trades the project requires.</w:t>
      </w:r>
    </w:p>
    <w:p>
      <w:pPr>
        <w:spacing w:before="200" w:after="60"/>
      </w:pPr>
      <w:r>
        <w:rPr>
          <w:b/>
          <w:color w:val="1E293B"/>
          <w:sz w:val="24"/>
        </w:rPr>
        <w:t>Who produces it, and who relies on it</w:t>
      </w:r>
    </w:p>
    <w:p>
      <w:pPr>
        <w:spacing w:after="120"/>
      </w:pPr>
      <w:r>
        <w:t xml:space="preserve">The Retrofit Cost Plan is </w:t>
      </w:r>
      <w:r>
        <w:rPr>
          <w:b/>
          <w:color w:val="1E293B"/>
        </w:rPr>
        <w:t>produced by the BER assessor</w:t>
      </w:r>
      <w:r>
        <w:t xml:space="preserve"> — the professional who has already surveyed the home and holds the measurements. Everyone else works from the document they issue.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Party</w:t>
            </w:r>
          </w:p>
        </w:tc>
        <w:tc>
          <w:tcPr>
            <w:tcW w:type="dxa" w:w="4873"/>
          </w:tcPr>
          <w:p>
            <w:r>
              <w:rPr>
                <w:b/>
                <w:sz w:val="19"/>
              </w:rPr>
              <w:t>How they use the Cost Plan</w:t>
            </w:r>
          </w:p>
        </w:tc>
      </w:tr>
      <w:tr>
        <w:tc>
          <w:tcPr>
            <w:tcW w:type="dxa" w:w="9746"/>
            <w:gridSpan w:val="2"/>
            <w:shd w:val="clear" w:color="auto" w:fill="1E293B"/>
          </w:tcPr>
          <w:p>
            <w:r>
              <w:rPr>
                <w:b/>
                <w:color w:val="FFFFFF"/>
                <w:sz w:val="17"/>
              </w:rPr>
              <w:t>PRODUCES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issued with the BER documentation — turning an assessment into a complete, actionable conversation. Built by assessors, so it uses the survey already carried out and asks for no return visit.</w:t>
            </w:r>
          </w:p>
        </w:tc>
      </w:tr>
      <w:tr>
        <w:tc>
          <w:tcPr>
            <w:tcW w:type="dxa" w:w="9746"/>
            <w:gridSpan w:val="2"/>
            <w:shd w:val="clear" w:color="auto" w:fill="1E293B"/>
          </w:tcPr>
          <w:p>
            <w:r>
              <w:rPr>
                <w:b/>
                <w:color w:val="FFFFFF"/>
                <w:sz w:val="17"/>
              </w:rPr>
              <w:t>RELIES ON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benchmark.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One Stop Shops &amp; CEG Coordinators</w:t>
            </w:r>
          </w:p>
        </w:tc>
        <w:tc>
          <w:tcPr>
            <w:tcW w:type="dxa" w:w="4873"/>
          </w:tcPr>
          <w:p>
            <w:r>
              <w:rPr>
                <w:sz w:val="19"/>
              </w:rPr>
              <w:t>Price and pre-qualify projects against a common, independent basis, and set client expectations from the outset. Under CEG, where several contractors price parts of one project, a shared itemised scope is what makes those prices comparable.</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00" w:after="60"/>
      </w:pPr>
      <w:r>
        <w:rPr>
          <w:b/>
          <w:color w:val="1E293B"/>
          <w:sz w:val="24"/>
        </w:rPr>
        <w:t>The three grant routes</w:t>
      </w:r>
    </w:p>
    <w:p>
      <w:pPr>
        <w:spacing w:after="120"/>
      </w:pPr>
      <w:r>
        <w:t>A homeowner reaches the same works through one of three routes, and the Cost Plan prices all three so the choice can be made on evidence: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tc>
        <w:tc>
          <w:tcPr>
            <w:tcW w:type="dxa" w:w="2436"/>
          </w:tcPr>
          <w:p>
            <w:r>
              <w:rPr>
                <w:b/>
                <w:sz w:val="19"/>
              </w:rPr>
              <w:t>One Stop Shop</w:t>
            </w:r>
          </w:p>
        </w:tc>
        <w:tc>
          <w:tcPr>
            <w:tcW w:type="dxa" w:w="2436"/>
          </w:tcPr>
          <w:p>
            <w:r>
              <w:rPr>
                <w:b/>
                <w:sz w:val="19"/>
              </w:rPr>
              <w:t>Community Energy Grant</w:t>
            </w:r>
          </w:p>
        </w:tc>
        <w:tc>
          <w:tcPr>
            <w:tcW w:type="dxa" w:w="2436"/>
          </w:tcPr>
          <w:p>
            <w:r>
              <w:rPr>
                <w:b/>
                <w:sz w:val="19"/>
              </w:rPr>
              <w:t>Better Energy Homes</w:t>
            </w:r>
          </w:p>
        </w:tc>
      </w:tr>
      <w:tr>
        <w:tc>
          <w:tcPr>
            <w:tcW w:type="dxa" w:w="2436"/>
          </w:tcPr>
          <w:p>
            <w:r>
              <w:rPr>
                <w:sz w:val="19"/>
              </w:rPr>
              <w:t>Who applies</w:t>
            </w:r>
          </w:p>
        </w:tc>
        <w:tc>
          <w:tcPr>
            <w:tcW w:type="dxa" w:w="2436"/>
          </w:tcPr>
          <w:p>
            <w:r>
              <w:rPr>
                <w:sz w:val="19"/>
              </w:rPr>
              <w:t>Registered One Stop Shop</w:t>
            </w:r>
          </w:p>
        </w:tc>
        <w:tc>
          <w:tcPr>
            <w:tcW w:type="dxa" w:w="2436"/>
          </w:tcPr>
          <w:p>
            <w:r>
              <w:rPr>
                <w:sz w:val="19"/>
              </w:rPr>
              <w:t>Registered Project Coordinator</w:t>
            </w:r>
          </w:p>
        </w:tc>
        <w:tc>
          <w:tcPr>
            <w:tcW w:type="dxa" w:w="2436"/>
          </w:tcPr>
          <w:p>
            <w:r>
              <w:rPr>
                <w:sz w:val="19"/>
              </w:rPr>
              <w:t>Homeowner</w:t>
            </w:r>
          </w:p>
        </w:tc>
      </w:tr>
      <w:tr>
        <w:tc>
          <w:tcPr>
            <w:tcW w:type="dxa" w:w="2436"/>
          </w:tcPr>
          <w:p>
            <w:r>
              <w:rPr>
                <w:sz w:val="19"/>
              </w:rPr>
              <w:t>Who does the work</w:t>
            </w:r>
          </w:p>
        </w:tc>
        <w:tc>
          <w:tcPr>
            <w:tcW w:type="dxa" w:w="2436"/>
          </w:tcPr>
          <w:p>
            <w:r>
              <w:rPr>
                <w:sz w:val="19"/>
              </w:rPr>
              <w:t>One company, start to finish</w:t>
            </w:r>
          </w:p>
        </w:tc>
        <w:tc>
          <w:tcPr>
            <w:tcW w:type="dxa" w:w="2436"/>
          </w:tcPr>
          <w:p>
            <w:r>
              <w:rPr>
                <w:sz w:val="19"/>
              </w:rPr>
              <w:t>Several contractors within an approved project</w:t>
            </w:r>
          </w:p>
        </w:tc>
        <w:tc>
          <w:tcPr>
            <w:tcW w:type="dxa" w:w="2436"/>
          </w:tcPr>
          <w:p>
            <w:r>
              <w:rPr>
                <w:sz w:val="19"/>
              </w:rPr>
              <w:t>Contractors the homeowner appoints</w:t>
            </w:r>
          </w:p>
        </w:tc>
      </w:tr>
      <w:tr>
        <w:tc>
          <w:tcPr>
            <w:tcW w:type="dxa" w:w="2436"/>
          </w:tcPr>
          <w:p>
            <w:r>
              <w:rPr>
                <w:sz w:val="19"/>
              </w:rPr>
              <w:t>Grant values</w:t>
            </w:r>
          </w:p>
        </w:tc>
        <w:tc>
          <w:tcPr>
            <w:tcW w:type="dxa" w:w="2436"/>
          </w:tcPr>
          <w:p>
            <w:r>
              <w:rPr>
                <w:sz w:val="19"/>
              </w:rPr>
              <w:t>SEAI published table</w:t>
            </w:r>
          </w:p>
        </w:tc>
        <w:tc>
          <w:tcPr>
            <w:tcW w:type="dxa" w:w="2436"/>
          </w:tcPr>
          <w:p>
            <w:r>
              <w:rPr>
                <w:sz w:val="19"/>
              </w:rPr>
              <w:t>Project-specific — set within the approved project</w:t>
            </w:r>
          </w:p>
        </w:tc>
        <w:tc>
          <w:tcPr>
            <w:tcW w:type="dxa" w:w="2436"/>
          </w:tcPr>
          <w:p>
            <w:r>
              <w:rPr>
                <w:sz w:val="19"/>
              </w:rPr>
              <w:t>SEAI published table</w:t>
            </w:r>
          </w:p>
        </w:tc>
      </w:tr>
      <w:tr>
        <w:tc>
          <w:tcPr>
            <w:tcW w:type="dxa" w:w="2436"/>
          </w:tcPr>
          <w:p>
            <w:r>
              <w:rPr>
                <w:sz w:val="19"/>
              </w:rPr>
              <w:t>When the grant lands</w:t>
            </w:r>
          </w:p>
        </w:tc>
        <w:tc>
          <w:tcPr>
            <w:tcW w:type="dxa" w:w="2436"/>
          </w:tcPr>
          <w:p>
            <w:r>
              <w:rPr>
                <w:sz w:val="19"/>
              </w:rPr>
              <w:t>Deducted from the price</w:t>
            </w:r>
          </w:p>
        </w:tc>
        <w:tc>
          <w:tcPr>
            <w:tcW w:type="dxa" w:w="2436"/>
          </w:tcPr>
          <w:p>
            <w:r>
              <w:rPr>
                <w:sz w:val="19"/>
              </w:rPr>
              <w:t>Project-specific</w:t>
            </w:r>
          </w:p>
        </w:tc>
        <w:tc>
          <w:tcPr>
            <w:tcW w:type="dxa" w:w="2436"/>
          </w:tcPr>
          <w:p>
            <w:r>
              <w:rPr>
                <w:sz w:val="19"/>
              </w:rPr>
              <w:t>Paid after completion, so the homeowner funds the gross first</w:t>
            </w:r>
          </w:p>
        </w:tc>
      </w:tr>
      <w:tr>
        <w:tc>
          <w:tcPr>
            <w:tcW w:type="dxa" w:w="2436"/>
          </w:tcPr>
          <w:p>
            <w:r>
              <w:rPr>
                <w:sz w:val="19"/>
              </w:rPr>
              <w:t>Management charge</w:t>
            </w:r>
          </w:p>
        </w:tc>
        <w:tc>
          <w:tcPr>
            <w:tcW w:type="dxa" w:w="2436"/>
          </w:tcPr>
          <w:p>
            <w:r>
              <w:rPr>
                <w:sz w:val="19"/>
              </w:rPr>
              <w:t>Included in the provider's single price</w:t>
            </w:r>
          </w:p>
        </w:tc>
        <w:tc>
          <w:tcPr>
            <w:tcW w:type="dxa" w:w="2436"/>
          </w:tcPr>
          <w:p>
            <w:r>
              <w:rPr>
                <w:sz w:val="19"/>
              </w:rPr>
              <w:t>Itemised by the coordinator — a fixed charge plus an amount per grant measure</w:t>
            </w:r>
          </w:p>
        </w:tc>
        <w:tc>
          <w:tcPr>
            <w:tcW w:type="dxa" w:w="2436"/>
          </w:tcPr>
          <w:p>
            <w:r>
              <w:rPr>
                <w:sz w:val="19"/>
              </w:rPr>
              <w:t>None; the homeowner does the administration</w:t>
            </w:r>
          </w:p>
        </w:tc>
      </w:tr>
    </w:tbl>
    <w:p>
      <w:pPr>
        <w:spacing w:after="120"/>
      </w:pPr>
      <w:r>
        <w:t>The managed routes carry a real cost that is easy to miss. Someone else runs the project, handles the grant claim and stands behind the result, and they charge for it. The Cost Plan prices that charge as its own line — VAT included, with no contractor's overhead or contingency applied, because it is a professional fee and not works — and shows the project management grant offsetting part of it.</w:t>
      </w:r>
    </w:p>
    <w:p>
      <w:pPr>
        <w:spacing w:after="120"/>
      </w:pPr>
      <w:r>
        <w:t xml:space="preserve">On a typical Community Energy Grant project that is a </w:t>
      </w:r>
      <w:r>
        <w:rPr>
          <w:b/>
          <w:color w:val="1E293B"/>
        </w:rPr>
        <w:t>€4,600 administration charge against a €2,000 project management grant</w:t>
      </w:r>
      <w:r>
        <w:t>: a net cost of €2,600 that a homeowner comparing routes on grant totals alone would never see. Making that visible, rather than showing the grant and hiding the fee, is the whole point of an independent cost document.</w:t>
      </w:r>
    </w:p>
    <w:p>
      <w:pPr>
        <w:spacing w:after="120"/>
      </w:pPr>
      <w:r>
        <w:t xml:space="preserve">A One Stop Shop does not itemise it at all — it sits inside their single price — but a route that cannot be compared is a route the homeowner cannot judge. The Cost Plan therefore carries an allowance for it, set above the coordinator basis to reflect one provider running everything where a coordinator model still has contractors competing on price. </w:t>
      </w:r>
      <w:r>
        <w:rPr>
          <w:b/>
          <w:color w:val="1E293B"/>
        </w:rPr>
        <w:t>That uplift is a working assumption, clearly labelled as provisional on every plan, and replacing it with measured evidence is one of the specific jobs of the pilot.</w:t>
      </w:r>
      <w:r>
        <w:t xml:space="preserve"> The worked examples order as you would expect — One Stop Shop highest, then Community Energy Grant, then Better Energy Homes where the homeowner does the administration themselves — but the size of the gap is exactly what needs proving.</w:t>
      </w:r>
    </w:p>
    <w:p>
      <w:pPr>
        <w:spacing w:before="280" w:after="80"/>
      </w:pPr>
      <w:r>
        <w:rPr>
          <w:b/>
          <w:color w:val="B07D1A"/>
          <w:sz w:val="30"/>
        </w:rPr>
        <w:t>2. The Pilot</w:t>
      </w:r>
    </w:p>
    <w:p>
      <w:pPr>
        <w:spacing w:after="120"/>
      </w:pPr>
      <w:r>
        <w:t>The pilot turns the stated accuracy (±15–20%) into published evidence, tunes the rate and grant tables against real prices, and completes the remaining development — so that what SEAI is asked to recognise has been proven in the field first.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all three grant routes. Publish the error distribution per measure, not merely an average.</w:t>
      </w:r>
    </w:p>
    <w:p>
      <w:pPr>
        <w:spacing w:after="120"/>
      </w:pPr>
      <w:r>
        <w:rPr>
          <w:b/>
          <w:color w:val="1E293B"/>
        </w:rPr>
        <w:t>Tune the rate book and the grant tables.</w:t>
      </w:r>
    </w:p>
    <w:p>
      <w:pPr>
        <w:spacing w:after="120"/>
      </w:pPr>
      <w:r>
        <w:t>Where a measure prices consistently high or low, the rate is corrected and the correction dated and recorded. Grant values are checked against SEAI's published tables at each revision, and the CEG route is tested with real Project Coordinator rates rather than assumed ones.</w:t>
      </w:r>
    </w:p>
    <w:p>
      <w:pPr>
        <w:spacing w:after="120"/>
      </w:pPr>
      <w:r>
        <w:rPr>
          <w:b/>
          <w:color w:val="1E293B"/>
        </w:rPr>
        <w:t>Prove the assessor workflow.</w:t>
      </w:r>
    </w:p>
    <w:p>
      <w:pPr>
        <w:spacing w:after="120"/>
      </w:pPr>
      <w:r>
        <w:t>Confirm assessors can produce a Cost Plan from a survey they have already carried out — without returning to the property, taking additional measurements, or applying specialist quantity surveying knowledge. Success is the Cost Plan issued to the homeowner alongside the BER documentation, as part of the same job.</w:t>
      </w:r>
    </w:p>
    <w:p>
      <w:pPr>
        <w:spacing w:after="120"/>
      </w:pPr>
      <w:r>
        <w:rPr>
          <w:b/>
          <w:color w:val="1E293B"/>
        </w:rPr>
        <w:t>Capture the first actual-cost dataset.</w:t>
      </w:r>
    </w:p>
    <w:p>
      <w:pPr>
        <w:spacing w:after="120"/>
      </w:pPr>
      <w:r>
        <w:t>Estimated-versus-actual figures, per measure and per county, seed a record of retrofit out-turn costs that does not currently exist anywhere in the programme. Aggregated and anonymised, it is a direct output of the pilot.</w:t>
      </w:r>
    </w:p>
    <w:p>
      <w:pPr>
        <w:spacing w:after="120"/>
      </w:pPr>
      <w:r>
        <w:rPr>
          <w:b/>
          <w:color w:val="1E293B"/>
        </w:rPr>
        <w:t>Complete the development.</w:t>
      </w:r>
    </w:p>
    <w:p>
      <w:pPr>
        <w:spacing w:after="120"/>
      </w:pPr>
      <w:r>
        <w:t>Field use will surface what a demonstration cannot: reporting the sector actually wants, the eligibility rules worth encoding, and the workflow refinements assessors ask for. Energy Upgrade is the module that is ready today. Refurbishment and New Build share the same engine and the same report format, and are in development behind it.</w:t>
      </w:r>
    </w:p>
    <w:p>
      <w:pPr>
        <w:spacing w:after="120"/>
      </w:pPr>
      <w:r>
        <w:rPr>
          <w:b/>
          <w:color w:val="1E293B"/>
        </w:rPr>
        <w:t>Success criteria, stated in advance:</w:t>
      </w:r>
      <w:r>
        <w:t xml:space="preserve"> measured accuracy within the published band on at least 80% of projects; a Cost Plan issued with the BER documentation on at least 90% of assessments, with no return visit required;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three months collecting projects with matched quotes and actual costs, and a final month for analysis and reporting.</w:t>
      </w:r>
    </w:p>
    <w:p>
      <w:pPr>
        <w:spacing w:before="200" w:after="60"/>
      </w:pPr>
      <w:r>
        <w:rPr>
          <w:b/>
          <w:color w:val="1E293B"/>
          <w:sz w:val="24"/>
        </w:rPr>
        <w:t>Funding, governance and risk</w:t>
      </w:r>
    </w:p>
    <w:p>
      <w:pPr>
        <w:spacing w:after="120"/>
      </w:pPr>
      <w:r>
        <w:rPr>
          <w:b/>
          <w:color w:val="1E293B"/>
        </w:rPr>
        <w:t>The funding ask.</w:t>
      </w:r>
      <w:r>
        <w:t xml:space="preserve"> We are asking SEAI to fund the pilot and deliver it with us: recruiting and supporting participating assessors, collecting and verifying matched quotes and out-turn costs across 50–100 homes, tuning the rate and grant tables against what the projects show, completing the development that field use identifies, and independent analysis of the results.</w:t>
      </w:r>
    </w:p>
    <w:p>
      <w:pPr>
        <w:spacing w:after="120"/>
      </w:pPr>
      <w:r>
        <w:t>Three reasons the pilot is worth funding. It produces the evidence that would justify endorsement, which no responsible body should give without it. It produces a public asset: the first structured record of what Irish retrofits actually cost, which becomes SEAI's to hold and publish. And a pilot delivered jointly carries far more weight with assessors, contractors and lenders than one conducted by a private firm alone — which materially affects whether the sector adopts a common standard at all. We would welcome delivery under an existing pilot, research or demonstration programme, on whatever terms SEAI's procedures require.</w:t>
      </w:r>
    </w:p>
    <w:p>
      <w:pPr>
        <w:spacing w:after="120"/>
      </w:pPr>
      <w:r>
        <w:rPr>
          <w:b/>
          <w:color w:val="1E293B"/>
        </w:rPr>
        <w:t>SEAI oversight.</w:t>
      </w:r>
      <w:r>
        <w:t xml:space="preserve"> Standalone software does not have to mean unsupervised software. We would welcome a formal SEAI role in governing the method: the rate book, the grant tables, their sources and every revision made available for review, with all changes published and dated. If SEAI would prefer to approve the rate book annually, or set parameters the method must apply, we would accept that as a condition of recognition.</w:t>
      </w:r>
    </w:p>
    <w:p>
      <w:pPr>
        <w:spacing w:after="120"/>
      </w:pPr>
      <w:r>
        <w:rPr>
          <w:b/>
          <w:color w:val="1E293B"/>
        </w:rPr>
        <w:t>Keeping it maintained.</w:t>
      </w:r>
      <w:r>
        <w:t xml:space="preserve"> A standard the sector relies on should not rest on one firm's goodwill. It needs a rate book kept current, governance that is documented, and someone accountable for both. We maintain PlanitBER at our own cost today and will do so throughout the pilot. If the Retrofit Cost Plan becomes national infrastructure, we would welcome agreeing a sustainable basis for maintaining and operating it under SEAI's oversight, so that its upkeep is funded and accountable rather than discretionary.</w:t>
      </w:r>
    </w:p>
    <w:p>
      <w:pPr>
        <w:spacing w:after="120"/>
      </w:pPr>
      <w:r>
        <w:rPr>
          <w:b/>
          <w:color w:val="1E293B"/>
        </w:rPr>
        <w:t>Access.</w:t>
      </w:r>
      <w:r>
        <w:t xml:space="preserve"> The Retrofit Cost Plan is free to homeowners. BER assessors access PlanitBER under an annual licence, priced to be recoverable from a single assessment; the level is still to be settled and we would welcome SEAI's view on it. We take no commission, referral fee, lead-generation payment or contractor advertising from any party — independence from everyone selling the works is the point, and it will not be compromised.</w:t>
      </w:r>
    </w:p>
    <w:p>
      <w:pPr>
        <w:spacing w:after="120"/>
      </w:pPr>
      <w:r>
        <w:rPr>
          <w:b/>
          <w:color w:val="1E293B"/>
        </w:rPr>
        <w:t>Liability.</w:t>
      </w:r>
      <w:r>
        <w:t xml:space="preserve"> Every Cost Plan is labelled an indicative estimate — not a quotation, contract or guarantee of final cost — with the accuracy band printed on its face.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shared with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A recognised standard, applied consistently nationwide.</w:t>
      </w:r>
    </w:p>
    <w:p>
      <w:pPr>
        <w:spacing w:after="120"/>
      </w:pPr>
      <w:r>
        <w:t>Ireland completes roughly 100,000 home energy assessments a year, and almost none of them leave the homeowner with a credible number. Recognition would make the Retrofit Cost Plan the consistent format in which that number is given — the same method, loading basis and grant treatment whether the homeowner is in Dublin or Westport. The worked examples in this pack are deliberately drawn from two counties at opposite ends of the labour-cost range, so the same house specification produces different, correctly regionalised figures.</w:t>
      </w:r>
    </w:p>
    <w:p>
      <w:pPr>
        <w:spacing w:after="120"/>
      </w:pPr>
      <w:r>
        <w:rPr>
          <w:b/>
          <w:color w:val="1E293B"/>
        </w:rPr>
        <w:t>A better deal for the people delivering retrofit.</w:t>
      </w:r>
    </w:p>
    <w:p>
      <w:pPr>
        <w:spacing w:after="120"/>
      </w:pPr>
      <w:r>
        <w:t xml:space="preserve">Assessors are best placed to produce this — they have already surveyed the home, already hold the measurements, and are already trusted to advise on improvements. The Retrofit Cost Plan extends that advice from </w:t>
      </w:r>
      <w:r>
        <w:rPr>
          <w:i/>
        </w:rPr>
        <w:t>what to do</w:t>
      </w:r>
      <w:r>
        <w:t xml:space="preserve"> to </w:t>
      </w:r>
      <w:r>
        <w:rPr>
          <w:i/>
        </w:rPr>
        <w:t>what it costs</w:t>
      </w:r>
      <w:r>
        <w:t>, using the survey already completed. That makes the assessment more valuable to the homeowner and more commercially attractive to the assessor.</w:t>
      </w:r>
    </w:p>
    <w:p>
      <w:pPr>
        <w:spacing w:after="120"/>
      </w:pPr>
      <w:r>
        <w:t>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document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built into the method, so a plan that prices a grant is a plan that qualifies for it. The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Funded pilot</w:t>
      </w:r>
      <w:r>
        <w:t xml:space="preserve"> — delivered in partnership with SEAI: accuracy report, tuned rate and grant tables, actual-cost dataset and rate governance.</w:t>
      </w:r>
    </w:p>
    <w:p>
      <w:pPr>
        <w:spacing w:after="80"/>
        <w:ind w:left="454" w:hanging="454"/>
      </w:pPr>
      <w:r>
        <w:rPr>
          <w:b/>
          <w:color w:val="1E293B"/>
        </w:rPr>
        <w:t xml:space="preserve">2.  </w:t>
      </w:r>
      <w:r>
        <w:rPr>
          <w:b/>
          <w:color w:val="1E293B"/>
        </w:rPr>
        <w:t>Recognition</w:t>
      </w:r>
      <w:r>
        <w:t xml:space="preserve"> — the Retrofit Cost Plan recognised as a standard cost document, and PlanitBER as the means of producing it,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produces something concrete — evidence, cost data, higher homeowner conversion — before the next is asked for.</w:t>
      </w:r>
    </w:p>
    <w:p>
      <w:pPr>
        <w:spacing w:after="120"/>
      </w:pPr>
      <w:r>
        <w:t>What we are seeking is a partner rather than a customer: joint delivery of the pilot, shared oversight of the method, findings that belong to the sector rather than to us, and a common cost document that assessors, contractors, lenders and homeowners all recognise. The retrofit sector needs a cost standard it can trust, and a standard the industry trusts is one SEAI stands over. We would rather build that with SEAI than alongside it.</w:t>
      </w:r>
    </w:p>
    <w:p>
      <w:pPr>
        <w:spacing w:after="120"/>
      </w:pPr>
      <w:r>
        <w:rPr>
          <w:i/>
        </w:rPr>
        <w:t>PlanitBER V1 · Turley Energy Consultants · Indicative accuracy ±15–20% (to be evidenced in pilot)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