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25E12" w14:textId="2094FE58" w:rsidR="00CB282D" w:rsidRDefault="00CB282D"/>
    <w:p w14:paraId="30FFBA79" w14:textId="6BCF43F9" w:rsidR="00CB282D" w:rsidRDefault="003B4D4B" w:rsidP="003B4D4B">
      <w:r>
        <w:rPr>
          <w:noProof/>
        </w:rPr>
        <w:drawing>
          <wp:anchor distT="0" distB="0" distL="114300" distR="114300" simplePos="0" relativeHeight="251659264" behindDoc="1" locked="0" layoutInCell="1" allowOverlap="1" wp14:anchorId="50543086" wp14:editId="0F5DB792">
            <wp:simplePos x="0" y="0"/>
            <wp:positionH relativeFrom="column">
              <wp:posOffset>800735</wp:posOffset>
            </wp:positionH>
            <wp:positionV relativeFrom="paragraph">
              <wp:posOffset>8890</wp:posOffset>
            </wp:positionV>
            <wp:extent cx="1655445" cy="408940"/>
            <wp:effectExtent l="0" t="0" r="1905" b="0"/>
            <wp:wrapTight wrapText="bothSides">
              <wp:wrapPolygon edited="0">
                <wp:start x="0" y="0"/>
                <wp:lineTo x="0" y="20124"/>
                <wp:lineTo x="21376" y="20124"/>
                <wp:lineTo x="2137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itber-logo.png"/>
                    <pic:cNvPicPr/>
                  </pic:nvPicPr>
                  <pic:blipFill>
                    <a:blip r:embed="rId6"/>
                    <a:stretch>
                      <a:fillRect/>
                    </a:stretch>
                  </pic:blipFill>
                  <pic:spPr>
                    <a:xfrm>
                      <a:off x="0" y="0"/>
                      <a:ext cx="1655445" cy="408940"/>
                    </a:xfrm>
                    <a:prstGeom prst="rect">
                      <a:avLst/>
                    </a:prstGeom>
                  </pic:spPr>
                </pic:pic>
              </a:graphicData>
            </a:graphic>
            <wp14:sizeRelH relativeFrom="page">
              <wp14:pctWidth>0</wp14:pctWidth>
            </wp14:sizeRelH>
            <wp14:sizeRelV relativeFrom="page">
              <wp14:pctHeight>0</wp14:pctHeight>
            </wp14:sizeRelV>
          </wp:anchor>
        </w:drawing>
      </w:r>
      <w:r>
        <w:rPr>
          <w:b/>
          <w:color w:val="1E293B"/>
          <w:sz w:val="44"/>
        </w:rPr>
        <w:t xml:space="preserve">        — Value Proposition</w:t>
      </w:r>
    </w:p>
    <w:p w14:paraId="165CE43A" w14:textId="31EA59E8" w:rsidR="00F609AA" w:rsidRDefault="00000000">
      <w:pPr>
        <w:spacing w:after="40"/>
        <w:jc w:val="center"/>
      </w:pPr>
      <w:r>
        <w:rPr>
          <w:noProof/>
        </w:rPr>
        <w:drawing>
          <wp:inline distT="0" distB="0" distL="0" distR="0" wp14:anchorId="47515847" wp14:editId="16B47D0E">
            <wp:extent cx="2194560" cy="3105557"/>
            <wp:effectExtent l="0" t="0" r="0" b="0"/>
            <wp:docPr id="900"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Screenshot"/>
                    <pic:cNvPicPr/>
                  </pic:nvPicPr>
                  <pic:blipFill>
                    <a:blip r:embed="rId7"/>
                    <a:stretch>
                      <a:fillRect/>
                    </a:stretch>
                  </pic:blipFill>
                  <pic:spPr>
                    <a:xfrm>
                      <a:off x="0" y="0"/>
                      <a:ext cx="2194560" cy="3105557"/>
                    </a:xfrm>
                    <a:prstGeom prst="rect">
                      <a:avLst/>
                    </a:prstGeom>
                  </pic:spPr>
                </pic:pic>
              </a:graphicData>
            </a:graphic>
          </wp:inline>
        </w:drawing>
      </w:r>
    </w:p>
    <w:p w14:paraId="04AC5566" w14:textId="77777777" w:rsidR="00F609AA" w:rsidRDefault="00000000">
      <w:pPr>
        <w:spacing w:after="140"/>
        <w:jc w:val="center"/>
      </w:pPr>
      <w:r>
        <w:rPr>
          <w:i/>
          <w:color w:val="64748B"/>
          <w:sz w:val="16"/>
        </w:rPr>
        <w:t>The finished document — page 1 of a Retrofit Cost Plan, the homeowner’s summary.</w:t>
      </w:r>
    </w:p>
    <w:p>
      <w:pPr>
        <w:spacing w:after="40"/>
        <w:jc w:val="center"/>
      </w:pPr>
      <w:r>
        <w:drawing>
          <wp:inline distT="0" distB="0" distL="0" distR="0">
            <wp:extent cx="5760720" cy="2099816"/>
            <wp:effectExtent l="0" t="0" r="0" b="0"/>
            <wp:docPr id="951" name="Do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Doc1"/>
                    <pic:cNvPicPr/>
                  </pic:nvPicPr>
                  <pic:blipFill>
                    <a:blip r:embed="rId101"/>
                    <a:stretch>
                      <a:fillRect/>
                    </a:stretch>
                  </pic:blipFill>
                  <pic:spPr>
                    <a:xfrm>
                      <a:off x="0" y="0"/>
                      <a:ext cx="5760720" cy="2099816"/>
                    </a:xfrm>
                    <a:prstGeom prst="rect">
                      <a:avLst/>
                    </a:prstGeom>
                  </pic:spPr>
                </pic:pic>
              </a:graphicData>
            </a:graphic>
          </wp:inline>
        </w:drawing>
      </w:r>
    </w:p>
    <w:p>
      <w:pPr>
        <w:spacing w:after="140"/>
        <w:jc w:val="center"/>
      </w:pPr>
      <w:r>
        <w:rPr>
          <w:i/>
          <w:sz w:val="16"/>
          <w:color w:val="64748B"/>
        </w:rPr>
        <w:t xml:space="preserve">Carried on every plan — how the homeowner should use the figures, and the accuracy band, inclusions and limitations stated on the face of the document.</w:t>
      </w:r>
    </w:p>
    <w:p w14:paraId="6254D2BD" w14:textId="1EED1754" w:rsidR="00CB282D" w:rsidRDefault="00000000">
      <w:pPr>
        <w:spacing w:after="100"/>
        <w:rPr>
          <w:noProof/>
        </w:rPr>
      </w:pPr>
      <w:r>
        <w:rPr>
          <w:b/>
          <w:color w:val="1E293B"/>
          <w:szCs w:val="21"/>
        </w:rPr>
        <w:t xml:space="preserve">What it is. </w:t>
      </w:r>
      <w:r>
        <w:t xml:space="preserve">An itemised cost plan for a home retrofit, produced by the BER assessor at the assessment and given to the homeowner with the BER documentation. For every measure recommended it sets out an estimated cost, the SEAI grant against it, and what the homeowner is left to fund. Two further columns keep it live: one for recording what each contractor quotes, and one for what the work actually costs. The homeowner leaves the assessment with a budget rather than a list of recommendations.</w:t>
      </w:r>
      <w:r>
        <w:rPr>
          <w:noProof/>
        </w:rPr>
        <w:t xml:space="preserve"> </w:t>
      </w:r>
    </w:p>
    <w:p w14:paraId="7BF35EFC" w14:textId="31D2D97F" w:rsidR="003B4D4B" w:rsidRDefault="003B4D4B" w:rsidP="003B4D4B">
      <w:pPr>
        <w:spacing w:after="100"/>
      </w:pPr>
      <w:r>
        <w:rPr>
          <w:b/>
          <w:color w:val="1E293B"/>
        </w:rPr>
        <w:t>Why it matters.</w:t>
      </w:r>
      <w:r>
        <w:t xml:space="preserve"> A homeowner who does not know whether their upgrade is a €20,000 job or a €70,000 one cannot plan it, cannot borrow for it with confidence, and cannot tell a fair quote from an inflated one. Three quotes arrive on three different letterheads, each covering slightly different work, and the cheapest usually looks best because something was left out of it. The Cost Plan gives the homeowner a figure to work from before they speak to anyone selling the work. The pricing schedule then sets out exactly what each contractor is pricing, so the quotes that come back can be put side by side and compared properly. That is the difference between knowing roughly what a job should cost and being able to choose.</w:t>
      </w:r>
    </w:p>
    <w:p w14:paraId="2B9287B6" w14:textId="77777777" w:rsidR="003B4D4B" w:rsidRDefault="003B4D4B" w:rsidP="003B4D4B">
      <w:pPr>
        <w:spacing w:after="100"/>
      </w:pPr>
      <w:r>
        <w:rPr>
          <w:b/>
          <w:color w:val="1E293B"/>
        </w:rPr>
        <w:t>What we are asking of SEAI:</w:t>
      </w:r>
      <w:r>
        <w:t xml:space="preserve"> to work with us on testing whether giving homeowners this at the point of assessment gets more of them to act. If it does, we would like the Retrofit Cost Plan recognised as a standard document in the retrofit journey, and the rate settings behind it published by SEAI. Homeowners and contractors would then be working from the same figures. </w:t>
      </w:r>
    </w:p>
    <w:p w14:paraId="6B258EB3" w14:textId="77777777" w:rsidR="00CB282D" w:rsidRDefault="00000000">
      <w:pPr>
        <w:spacing w:after="100"/>
      </w:pPr>
      <w:r>
        <w:rPr>
          <w:b/>
          <w:color w:val="1E293B"/>
        </w:rPr>
        <w:t>How it is made.</w:t>
      </w:r>
      <w:r>
        <w:t xml:space="preserve"> From the measurements the assessor has already taken — no return visit, no quantity surveyor, no separate exercise. Quantities come from the survey geometry. Prices come from rate settings that are maintained and updated as prices move, with county labour rates applied. Grants come from the SEAI tables for the route the homeowner has chosen. It is generated in PlanitBER — software built by practising BER assessors — and issued with the BER documentation.</w:t>
      </w:r>
    </w:p>
    <w:p w14:paraId="1AE05467" w14:textId="7B200C10" w:rsidR="00F609AA" w:rsidRDefault="00000000">
      <w:pPr>
        <w:spacing w:after="100"/>
      </w:pPr>
      <w:r>
        <w:rPr>
          <w:b/>
          <w:color w:val="1E293B"/>
        </w:rPr>
        <w:t>How it works, screen by screen.</w:t>
      </w:r>
      <w:r>
        <w:t xml:space="preserve"> The five screens below are the whole workflow, from opening a project to the finished plan. Every figure in the worked examples in this pack came from these screens.</w:t>
      </w:r>
    </w:p>
    <w:p w14:paraId="2B12B222" w14:textId="77777777" w:rsidR="00F609AA" w:rsidRDefault="00000000">
      <w:pPr>
        <w:spacing w:after="40"/>
        <w:jc w:val="center"/>
      </w:pPr>
      <w:r>
        <w:rPr>
          <w:noProof/>
        </w:rPr>
        <w:lastRenderedPageBreak/>
        <w:drawing>
          <wp:inline distT="0" distB="0" distL="0" distR="0" wp14:anchorId="252E3830" wp14:editId="792E4274">
            <wp:extent cx="5760720" cy="3339803"/>
            <wp:effectExtent l="0" t="0" r="0" b="0"/>
            <wp:docPr id="901"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Screenshot"/>
                    <pic:cNvPicPr/>
                  </pic:nvPicPr>
                  <pic:blipFill>
                    <a:blip r:embed="rId8"/>
                    <a:stretch>
                      <a:fillRect/>
                    </a:stretch>
                  </pic:blipFill>
                  <pic:spPr>
                    <a:xfrm>
                      <a:off x="0" y="0"/>
                      <a:ext cx="5760720" cy="3339803"/>
                    </a:xfrm>
                    <a:prstGeom prst="rect">
                      <a:avLst/>
                    </a:prstGeom>
                  </pic:spPr>
                </pic:pic>
              </a:graphicData>
            </a:graphic>
          </wp:inline>
        </w:drawing>
      </w:r>
    </w:p>
    <w:p w14:paraId="07489D78" w14:textId="77777777" w:rsidR="00F609AA" w:rsidRDefault="00000000">
      <w:pPr>
        <w:spacing w:after="140"/>
        <w:jc w:val="center"/>
      </w:pPr>
      <w:r>
        <w:rPr>
          <w:i/>
          <w:color w:val="64748B"/>
          <w:sz w:val="16"/>
        </w:rPr>
        <w:t>Step 1 — the project. Dwelling type, county and the SEAI grant route the homeowner is following. The route chosen here sets which grant table the plan uses.</w:t>
      </w:r>
    </w:p>
    <w:p w14:paraId="07CDB347" w14:textId="77777777" w:rsidR="00F609AA" w:rsidRDefault="00000000">
      <w:pPr>
        <w:spacing w:after="40"/>
        <w:jc w:val="center"/>
      </w:pPr>
      <w:r>
        <w:rPr>
          <w:noProof/>
        </w:rPr>
        <w:drawing>
          <wp:inline distT="0" distB="0" distL="0" distR="0" wp14:anchorId="7EB8651B" wp14:editId="59875F71">
            <wp:extent cx="5760408" cy="3512820"/>
            <wp:effectExtent l="0" t="0" r="0" b="0"/>
            <wp:docPr id="902"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Screenshot"/>
                    <pic:cNvPicPr/>
                  </pic:nvPicPr>
                  <pic:blipFill>
                    <a:blip r:embed="rId9"/>
                    <a:stretch>
                      <a:fillRect/>
                    </a:stretch>
                  </pic:blipFill>
                  <pic:spPr>
                    <a:xfrm>
                      <a:off x="0" y="0"/>
                      <a:ext cx="5764273" cy="3515177"/>
                    </a:xfrm>
                    <a:prstGeom prst="rect">
                      <a:avLst/>
                    </a:prstGeom>
                  </pic:spPr>
                </pic:pic>
              </a:graphicData>
            </a:graphic>
          </wp:inline>
        </w:drawing>
      </w:r>
    </w:p>
    <w:p w14:paraId="7963647C" w14:textId="77777777" w:rsidR="00F609AA" w:rsidRDefault="00000000">
      <w:pPr>
        <w:spacing w:after="140"/>
        <w:jc w:val="center"/>
      </w:pPr>
      <w:r>
        <w:rPr>
          <w:i/>
          <w:color w:val="64748B"/>
          <w:sz w:val="16"/>
        </w:rPr>
        <w:t>Step 2 — the measurements. Geometry is entered once, from the survey already carried out. Every quantity in the plan derives from it, so nothing is measured or typed twice.</w:t>
      </w:r>
    </w:p>
    <w:p w14:paraId="7512E400" w14:textId="77777777" w:rsidR="00F609AA" w:rsidRDefault="00000000">
      <w:pPr>
        <w:spacing w:after="40"/>
        <w:jc w:val="center"/>
      </w:pPr>
      <w:r>
        <w:rPr>
          <w:noProof/>
        </w:rPr>
        <w:lastRenderedPageBreak/>
        <w:drawing>
          <wp:anchor distT="0" distB="0" distL="114300" distR="114300" simplePos="0" relativeHeight="251660288" behindDoc="1" locked="0" layoutInCell="1" allowOverlap="1" wp14:anchorId="74986B3F" wp14:editId="60BDFEF6">
            <wp:simplePos x="0" y="0"/>
            <wp:positionH relativeFrom="margin">
              <wp:posOffset>206375</wp:posOffset>
            </wp:positionH>
            <wp:positionV relativeFrom="paragraph">
              <wp:posOffset>3175</wp:posOffset>
            </wp:positionV>
            <wp:extent cx="5806440" cy="4046220"/>
            <wp:effectExtent l="0" t="0" r="3810" b="0"/>
            <wp:wrapTight wrapText="bothSides">
              <wp:wrapPolygon edited="0">
                <wp:start x="0" y="0"/>
                <wp:lineTo x="0" y="21458"/>
                <wp:lineTo x="21543" y="21458"/>
                <wp:lineTo x="21543" y="0"/>
                <wp:lineTo x="0" y="0"/>
              </wp:wrapPolygon>
            </wp:wrapTight>
            <wp:docPr id="903"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Screenshot"/>
                    <pic:cNvPicPr/>
                  </pic:nvPicPr>
                  <pic:blipFill>
                    <a:blip r:embed="rId10"/>
                    <a:stretch>
                      <a:fillRect/>
                    </a:stretch>
                  </pic:blipFill>
                  <pic:spPr>
                    <a:xfrm>
                      <a:off x="0" y="0"/>
                      <a:ext cx="5806440" cy="4046220"/>
                    </a:xfrm>
                    <a:prstGeom prst="rect">
                      <a:avLst/>
                    </a:prstGeom>
                  </pic:spPr>
                </pic:pic>
              </a:graphicData>
            </a:graphic>
            <wp14:sizeRelH relativeFrom="page">
              <wp14:pctWidth>0</wp14:pctWidth>
            </wp14:sizeRelH>
            <wp14:sizeRelV relativeFrom="page">
              <wp14:pctHeight>0</wp14:pctHeight>
            </wp14:sizeRelV>
          </wp:anchor>
        </w:drawing>
      </w:r>
    </w:p>
    <w:p w14:paraId="70C1D70C" w14:textId="662661B8" w:rsidR="00F609AA" w:rsidRDefault="003B4D4B">
      <w:pPr>
        <w:spacing w:after="140"/>
        <w:jc w:val="center"/>
      </w:pPr>
      <w:r>
        <w:rPr>
          <w:noProof/>
        </w:rPr>
        <w:drawing>
          <wp:anchor distT="0" distB="0" distL="114300" distR="114300" simplePos="0" relativeHeight="251661312" behindDoc="1" locked="0" layoutInCell="1" allowOverlap="1" wp14:anchorId="2EC809AF" wp14:editId="4D01BFDD">
            <wp:simplePos x="0" y="0"/>
            <wp:positionH relativeFrom="column">
              <wp:posOffset>137795</wp:posOffset>
            </wp:positionH>
            <wp:positionV relativeFrom="paragraph">
              <wp:posOffset>377190</wp:posOffset>
            </wp:positionV>
            <wp:extent cx="5882640" cy="4885582"/>
            <wp:effectExtent l="0" t="0" r="3810" b="0"/>
            <wp:wrapTight wrapText="bothSides">
              <wp:wrapPolygon edited="0">
                <wp:start x="0" y="0"/>
                <wp:lineTo x="0" y="21438"/>
                <wp:lineTo x="21544" y="21438"/>
                <wp:lineTo x="21544" y="0"/>
                <wp:lineTo x="0" y="0"/>
              </wp:wrapPolygon>
            </wp:wrapTight>
            <wp:docPr id="904"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Screenshot"/>
                    <pic:cNvPicPr/>
                  </pic:nvPicPr>
                  <pic:blipFill>
                    <a:blip r:embed="rId11"/>
                    <a:stretch>
                      <a:fillRect/>
                    </a:stretch>
                  </pic:blipFill>
                  <pic:spPr>
                    <a:xfrm>
                      <a:off x="0" y="0"/>
                      <a:ext cx="5882640" cy="4885582"/>
                    </a:xfrm>
                    <a:prstGeom prst="rect">
                      <a:avLst/>
                    </a:prstGeom>
                  </pic:spPr>
                </pic:pic>
              </a:graphicData>
            </a:graphic>
            <wp14:sizeRelH relativeFrom="page">
              <wp14:pctWidth>0</wp14:pctWidth>
            </wp14:sizeRelH>
            <wp14:sizeRelV relativeFrom="page">
              <wp14:pctHeight>0</wp14:pctHeight>
            </wp14:sizeRelV>
          </wp:anchor>
        </w:drawing>
      </w:r>
      <w:r>
        <w:rPr>
          <w:i/>
          <w:color w:val="64748B"/>
          <w:sz w:val="16"/>
        </w:rPr>
        <w:t xml:space="preserve">Step 3 — the measures. Each bundle carries its own specification and the SEAI grant cap against it. </w:t>
      </w:r>
      <w:r>
        <w:rPr>
          <w:b/>
          <w:i/>
          <w:color w:val="64748B"/>
          <w:sz w:val="16"/>
        </w:rPr>
        <w:t>Generate Cost Plan</w:t>
      </w:r>
      <w:r>
        <w:rPr>
          <w:i/>
          <w:color w:val="64748B"/>
          <w:sz w:val="16"/>
        </w:rPr>
        <w:t xml:space="preserve"> prices every ticked measure against the measurements above and builds the plan.</w:t>
      </w:r>
    </w:p>
    <w:p w14:paraId="2CF1257F" w14:textId="77777777" w:rsidR="00F609AA" w:rsidRDefault="00000000">
      <w:pPr>
        <w:spacing w:after="140"/>
        <w:jc w:val="center"/>
      </w:pPr>
      <w:r>
        <w:rPr>
          <w:i/>
          <w:color w:val="64748B"/>
          <w:sz w:val="16"/>
        </w:rPr>
        <w:t xml:space="preserve">Step 4 — the plan on screen, with the pricing basis a contractor prices against. </w:t>
      </w:r>
      <w:r>
        <w:rPr>
          <w:b/>
          <w:i/>
          <w:color w:val="64748B"/>
          <w:sz w:val="16"/>
        </w:rPr>
        <w:t>Retrofit Cost Plan (PDF)</w:t>
      </w:r>
      <w:r>
        <w:rPr>
          <w:i/>
          <w:color w:val="64748B"/>
          <w:sz w:val="16"/>
        </w:rPr>
        <w:t xml:space="preserve"> produces the document the homeowner keeps; </w:t>
      </w:r>
      <w:r>
        <w:rPr>
          <w:b/>
          <w:i/>
          <w:color w:val="64748B"/>
          <w:sz w:val="16"/>
        </w:rPr>
        <w:t>Save Project</w:t>
      </w:r>
      <w:r>
        <w:rPr>
          <w:i/>
          <w:color w:val="64748B"/>
          <w:sz w:val="16"/>
        </w:rPr>
        <w:t xml:space="preserve"> stores it so the actual-spend and notes columns can be filled in as the work proceeds.</w:t>
      </w:r>
    </w:p>
    <w:p w14:paraId="3A383215" w14:textId="77777777" w:rsidR="00F609AA" w:rsidRDefault="00000000">
      <w:pPr>
        <w:spacing w:after="40"/>
        <w:jc w:val="center"/>
      </w:pPr>
      <w:r>
        <w:rPr>
          <w:noProof/>
        </w:rPr>
        <w:lastRenderedPageBreak/>
        <w:drawing>
          <wp:inline distT="0" distB="0" distL="0" distR="0" wp14:anchorId="64679C9A" wp14:editId="75EFB1FC">
            <wp:extent cx="5760720" cy="5350412"/>
            <wp:effectExtent l="0" t="0" r="0" b="0"/>
            <wp:docPr id="905"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Screenshot"/>
                    <pic:cNvPicPr/>
                  </pic:nvPicPr>
                  <pic:blipFill>
                    <a:blip r:embed="rId12"/>
                    <a:stretch>
                      <a:fillRect/>
                    </a:stretch>
                  </pic:blipFill>
                  <pic:spPr>
                    <a:xfrm>
                      <a:off x="0" y="0"/>
                      <a:ext cx="5760720" cy="5350412"/>
                    </a:xfrm>
                    <a:prstGeom prst="rect">
                      <a:avLst/>
                    </a:prstGeom>
                  </pic:spPr>
                </pic:pic>
              </a:graphicData>
            </a:graphic>
          </wp:inline>
        </w:drawing>
      </w:r>
    </w:p>
    <w:p w14:paraId="18E62B45" w14:textId="77777777" w:rsidR="00F609AA" w:rsidRDefault="00000000">
      <w:pPr>
        <w:spacing w:after="140"/>
        <w:jc w:val="center"/>
      </w:pPr>
      <w:r>
        <w:rPr>
          <w:i/>
          <w:color w:val="64748B"/>
          <w:sz w:val="16"/>
        </w:rPr>
        <w:t>Behind it — the rate settings. Every rate is dated and attributed to a named source, with low-confidence figures flagged as such, and updated as prices move. Assessors cannot change them. Published on SEAI’s website they would be there for homeowners and contractors alike to see — a reference, not a rate anyone is obliged to use.</w:t>
      </w:r>
    </w:p>
    <w:p w14:paraId="40214FD0" w14:textId="7ED3CCAE" w:rsidR="00CB282D" w:rsidRDefault="00000000">
      <w:pPr>
        <w:spacing w:before="280" w:after="80"/>
      </w:pPr>
      <w:r>
        <w:rPr>
          <w:b/>
          <w:color w:val="B07D1A"/>
          <w:sz w:val="30"/>
        </w:rPr>
        <w:t>1. The problem</w:t>
      </w:r>
    </w:p>
    <w:p w14:paraId="58FFA285" w14:textId="77777777" w:rsidR="00CB282D" w:rsidRDefault="00000000">
      <w:pPr>
        <w:spacing w:after="100"/>
      </w:pPr>
      <w:r>
        <w:t xml:space="preserve">Ireland has committed to retrofitting </w:t>
      </w:r>
      <w:r>
        <w:rPr>
          <w:b/>
          <w:color w:val="1E293B"/>
        </w:rPr>
        <w:t>500,000 homes to B2 or better by 2030</w:t>
      </w:r>
      <w:r>
        <w:t>, and is well behind target. Awareness and grant support are both in place. Cost is not the only barrier — affordability, disruption and competing priorities all play a part — but for many homeowners the remaining barrier is simply not knowing what the work is likely to cost.</w:t>
      </w:r>
    </w:p>
    <w:p w14:paraId="620ABEDA" w14:textId="77777777" w:rsidR="00CB282D" w:rsidRDefault="00000000">
      <w:pPr>
        <w:spacing w:after="100"/>
      </w:pPr>
      <w:r>
        <w:rPr>
          <w:b/>
          <w:color w:val="1E293B"/>
        </w:rPr>
        <w:t>1. Cost uncertainty stops homeowners acting.</w:t>
      </w:r>
      <w:r>
        <w:t xml:space="preserve"> An assessment says what needs upgrading but puts no price on it. Homeowners don't know whether that means €8,000 or €80,000, so they don't apply for grants, don't approach their bank, and don't proceed.</w:t>
      </w:r>
    </w:p>
    <w:p w14:paraId="514898AC" w14:textId="77777777" w:rsidR="00CB282D" w:rsidRDefault="00000000">
      <w:pPr>
        <w:spacing w:after="100"/>
      </w:pPr>
      <w:r>
        <w:rPr>
          <w:b/>
          <w:color w:val="1E293B"/>
        </w:rPr>
        <w:t>2. Without a reference point, a fair quote and an inflated one look identical.</w:t>
      </w:r>
      <w:r>
        <w:t xml:space="preserve"> The homeowner has nothing to measure a price against, so they either accept the first figure they are given or walk away from the project altogether. Honest contractors lose out too, to quotes that only look cheaper because items were left out.</w:t>
      </w:r>
    </w:p>
    <w:p w14:paraId="6915D267" w14:textId="77777777" w:rsidR="00CB282D" w:rsidRDefault="00000000">
      <w:pPr>
        <w:spacing w:after="100"/>
      </w:pPr>
      <w:r>
        <w:rPr>
          <w:b/>
          <w:color w:val="1E293B"/>
        </w:rPr>
        <w:t>3. Nothing bridges assessment and action.</w:t>
      </w:r>
      <w:r>
        <w:t xml:space="preserve"> The homeowner is left with a list of recommendations and no way to act on them, and the window in which they were motivated closes.</w:t>
      </w:r>
    </w:p>
    <w:p w14:paraId="0535A40B" w14:textId="77777777" w:rsidR="00CB282D" w:rsidRDefault="00000000">
      <w:pPr>
        <w:spacing w:before="280" w:after="80"/>
      </w:pPr>
      <w:r>
        <w:rPr>
          <w:b/>
          <w:color w:val="B07D1A"/>
          <w:sz w:val="30"/>
        </w:rPr>
        <w:lastRenderedPageBreak/>
        <w:t>2. How the Retrofit Cost Plan answers it</w:t>
      </w:r>
    </w:p>
    <w:p w14:paraId="75E2FFAD" w14:textId="77777777" w:rsidR="00CB282D" w:rsidRDefault="00000000">
      <w:pPr>
        <w:spacing w:after="100"/>
      </w:pPr>
      <w:r>
        <w:rPr>
          <w:b/>
          <w:color w:val="1E293B"/>
        </w:rPr>
        <w:t>1. It gives a number built on a transparent, auditable method.</w:t>
      </w:r>
      <w:r>
        <w:t xml:space="preserve"> An itemised budget built from the geometry the assessor already measured, using county-adjusted labour and current Irish material pricing, fully loaded (overhead and profit 12%, contingency 10%, VAT 13.5%; solar PV at 0%). Heat pumps are sized from the Heat Loss Indicator and a design heat load calculated to IS EN 12831, not estimated from floor area.</w:t>
      </w:r>
    </w:p>
    <w:p w14:paraId="20778D34" w14:textId="77777777" w:rsidR="00CB282D" w:rsidRDefault="00000000">
      <w:pPr>
        <w:spacing w:after="100"/>
      </w:pPr>
      <w:r>
        <w:rPr>
          <w:b/>
          <w:color w:val="1E293B"/>
        </w:rPr>
        <w:t>2. It gives the homeowner a benchmark.</w:t>
      </w:r>
      <w:r>
        <w:t xml:space="preserve"> Costs are set out independently of anyone selling the works, with grants deducted line by line, so the homeowner enters the tendering process knowing what the job should cost.</w:t>
      </w:r>
    </w:p>
    <w:p w14:paraId="2570D963" w14:textId="77777777" w:rsidR="00CB282D" w:rsidRDefault="00000000">
      <w:pPr>
        <w:spacing w:after="100"/>
      </w:pPr>
      <w:r>
        <w:rPr>
          <w:b/>
          <w:color w:val="1E293B"/>
        </w:rPr>
        <w:t>3. It closes the gap between advice and action.</w:t>
      </w:r>
      <w:r>
        <w:t xml:space="preserve"> Produced from the survey already done — no return visit, no re-measuring — and issued with the BER documentation as part of the same job.</w:t>
      </w:r>
    </w:p>
    <w:p w14:paraId="28B6B60B" w14:textId="66239F36" w:rsidR="00CB282D" w:rsidRDefault="00000000">
      <w:pPr>
        <w:spacing w:after="100"/>
      </w:pPr>
      <w:r>
        <w:rPr>
          <w:b/>
          <w:color w:val="1E293B"/>
        </w:rPr>
        <w:t>The document (see examples in folder).</w:t>
      </w:r>
      <w:r>
        <w:t xml:space="preserve"> Page 1 is the homeowner’s summary — one row per measure with its pricing basis, estimated cost and the grant against it, a column for recording quotes, a column for what the work actually costs, and the net figure to fund beneath the totals. The pages behind it show the working: how every figure was built up, and an itemised appendix down to unit rates. It all stays in one document.</w:t>
      </w:r>
    </w:p>
    <w:tbl>
      <w:tblP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706"/>
        <w:gridCol w:w="4706"/>
      </w:tblGrid>
      <w:tr>
        <w:tc>
          <w:tcPr>
            <w:tcW w:w="4706" w:type="dxa"/>
          </w:tcPr>
          <w:p>
            <w:pPr>
              <w:jc w:val="center"/>
            </w:pPr>
            <w:r>
              <w:drawing>
                <wp:inline distT="0" distB="0" distL="0" distR="0">
                  <wp:extent cx="2743200" cy="3795868"/>
                  <wp:effectExtent l="0" t="0" r="0" b="0"/>
                  <wp:docPr id="952" name="Do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oc2"/>
                          <pic:cNvPicPr/>
                        </pic:nvPicPr>
                        <pic:blipFill>
                          <a:blip r:embed="rId102"/>
                          <a:stretch>
                            <a:fillRect/>
                          </a:stretch>
                        </pic:blipFill>
                        <pic:spPr>
                          <a:xfrm>
                            <a:off x="0" y="0"/>
                            <a:ext cx="2743200" cy="3795868"/>
                          </a:xfrm>
                          <a:prstGeom prst="rect">
                            <a:avLst/>
                          </a:prstGeom>
                        </pic:spPr>
                      </pic:pic>
                    </a:graphicData>
                  </a:graphic>
                </wp:inline>
              </w:drawing>
            </w:r>
          </w:p>
        </w:tc>
        <w:tc>
          <w:tcPr>
            <w:tcW w:w="4706" w:type="dxa"/>
          </w:tcPr>
          <w:p>
            <w:pPr>
              <w:jc w:val="center"/>
            </w:pPr>
            <w:r>
              <w:drawing>
                <wp:inline distT="0" distB="0" distL="0" distR="0">
                  <wp:extent cx="2743200" cy="4079965"/>
                  <wp:effectExtent l="0" t="0" r="0" b="0"/>
                  <wp:docPr id="953" name="Do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Doc3"/>
                          <pic:cNvPicPr/>
                        </pic:nvPicPr>
                        <pic:blipFill>
                          <a:blip r:embed="rId103"/>
                          <a:stretch>
                            <a:fillRect/>
                          </a:stretch>
                        </pic:blipFill>
                        <pic:spPr>
                          <a:xfrm>
                            <a:off x="0" y="0"/>
                            <a:ext cx="2743200" cy="4079965"/>
                          </a:xfrm>
                          <a:prstGeom prst="rect">
                            <a:avLst/>
                          </a:prstGeom>
                        </pic:spPr>
                      </pic:pic>
                    </a:graphicData>
                  </a:graphic>
                </wp:inline>
              </w:drawing>
            </w:r>
          </w:p>
        </w:tc>
      </w:tr>
    </w:tbl>
    <w:p>
      <w:pPr>
        <w:spacing w:after="140"/>
        <w:jc w:val="center"/>
      </w:pPr>
      <w:r>
        <w:rPr>
          <w:i/>
          <w:sz w:val="16"/>
          <w:color w:val="64748B"/>
        </w:rPr>
        <w:t xml:space="preserve">The pages behind the summary — left, how every figure was built up from base cost to loaded total; right, the itemised appendix down to unit rates. Both are issued with the plan.</w:t>
      </w:r>
    </w:p>
    <w:p>
      <w:pPr>
        <w:spacing w:after="100"/>
      </w:pPr>
      <w:r>
        <w:rPr>
          <w:b/>
          <w:color w:val="1E293B"/>
        </w:rPr>
        <w:t>The pricing schedule.</w:t>
      </w:r>
      <w:r>
        <w:t xml:space="preserve"> The same engine produces a second document the homeowner can issue: the same measures and the same measured quantities, with the prices left blank. They send it to as many contractors as they like. This is ordinary practice in commercial building — a quantity surveyor issues a priced schedule and every tenderer fills in the same one. All that is different here is that a homeowner is doing it. Because each contractor prices the same scope, the figures that come back can be compared with each other and with the Cost Plan’s own estimate. Quantities are shown as the assessor’s measurement, and a contractor can confirm them, amend them, or use the blank column beside the price for anything else they need to say.</w:t>
      </w:r>
    </w:p>
    <w:p>
      <w:pPr>
        <w:jc w:val="center"/>
      </w:pPr>
      <w:r>
        <w:drawing>
          <wp:inline xmlns:a="http://schemas.openxmlformats.org/drawingml/2006/main" xmlns:pic="http://schemas.openxmlformats.org/drawingml/2006/picture">
            <wp:extent cx="5760720" cy="4568501"/>
            <wp:docPr id="954" name="Picture 954"/>
            <wp:cNvGraphicFramePr>
              <a:graphicFrameLocks noChangeAspect="1"/>
            </wp:cNvGraphicFramePr>
            <a:graphic>
              <a:graphicData uri="http://schemas.openxmlformats.org/drawingml/2006/picture">
                <pic:pic>
                  <pic:nvPicPr>
                    <pic:cNvPr id="0" name="final_schedule.png"/>
                    <pic:cNvPicPr/>
                  </pic:nvPicPr>
                  <pic:blipFill>
                    <a:blip r:embed="rId15"/>
                    <a:stretch>
                      <a:fillRect/>
                    </a:stretch>
                  </pic:blipFill>
                  <pic:spPr>
                    <a:xfrm>
                      <a:off x="0" y="0"/>
                      <a:ext cx="5760720" cy="4568501"/>
                    </a:xfrm>
                    <a:prstGeom prst="rect"/>
                  </pic:spPr>
                </pic:pic>
              </a:graphicData>
            </a:graphic>
          </wp:inline>
        </w:drawing>
      </w:r>
    </w:p>
    <w:p>
      <w:pPr>
        <w:jc w:val="center"/>
      </w:pPr>
      <w:r>
        <w:rPr>
          <w:i/>
          <w:color w:val="64748B"/>
          <w:sz w:val="16"/>
        </w:rPr>
        <w:t>The pricing schedule as it is issued — the same measures and the same measured quantities as the Cost Plan, and no prices anywhere on it. The contractor fills in the price column; the blank column beside it is theirs to use.</w:t>
      </w:r>
    </w:p>
    <w:p>
      <w:pPr>
        <w:spacing w:after="100"/>
      </w:pPr>
      <w:r>
        <w:rPr>
          <w:b/>
          <w:color w:val="1E293B"/>
        </w:rPr>
        <w:t>What that gives back.</w:t>
      </w:r>
      <w:r>
        <w:t xml:space="preserve"> Completed schedules are also what keep the rate settings honest. Every one that comes back is a real market price for a defined scope on a real house, so the figures come from the market rather than from anyone’s opinion, and they move when the market moves. A scope agreed in writing at the start also makes “that was not included” much harder to say later on.</w:t>
      </w:r>
    </w:p>
    <w:p w14:paraId="4AF9A146" w14:textId="77777777" w:rsidR="00CB282D" w:rsidRDefault="00000000">
      <w:pPr>
        <w:spacing w:before="280" w:after="80"/>
      </w:pPr>
      <w:r>
        <w:rPr>
          <w:b/>
          <w:color w:val="B07D1A"/>
          <w:sz w:val="30"/>
        </w:rPr>
        <w:t>3. Where this goes</w:t>
      </w:r>
    </w:p>
    <w:p w14:paraId="65ACC894" w14:textId="77777777" w:rsidR="00CB282D" w:rsidRDefault="00000000">
      <w:pPr>
        <w:spacing w:after="100"/>
      </w:pPr>
      <w:r>
        <w:t>Ireland completes well over 100,000 assessments a year, and few leave the homeowner with a costed budget. Recognition would make the Retrofit Cost Plan the consistent format in which that number is given. Publishing the rate settings would put a common reference in front of homeowners and contractors — open to see, not a rate anyone is obliged to use. That is where the real potential lies: when everyone is quoting and comparing against the same visible figures, prices start to align of their own accord. It protects the homeowner, and it protects the open market with them — contractors still compete on price, but they compete on the same scope, in the open.</w:t>
      </w:r>
    </w:p>
    <w:p w14:paraId="7891820F" w14:textId="77777777" w:rsidR="00CB282D" w:rsidRDefault="00000000">
      <w:pPr>
        <w:spacing w:after="100"/>
      </w:pPr>
      <w:r>
        <w:rPr>
          <w:b/>
          <w:color w:val="1E293B"/>
        </w:rPr>
        <w:t>Next step.</w:t>
      </w:r>
      <w:r>
        <w:t xml:space="preserve"> We would welcome a meeting to walk through the worked examples and talk about how this could be tested.</w:t>
      </w:r>
    </w:p>
    <w:p w14:paraId="0137735D" w14:textId="77777777" w:rsidR="00CB282D" w:rsidRDefault="00000000">
      <w:pPr>
        <w:spacing w:after="100"/>
      </w:pPr>
      <w:r>
        <w:rPr>
          <w:i/>
        </w:rPr>
        <w:t>PlanitBER V1 · Turley Energy Consultants · Indicative accuracy ±15–20% (to be evidenced in pilot) · Independent estimate — not prepared by any contractor · Not a substitute for a formal QS report</w:t>
      </w:r>
    </w:p>
    <w:sectPr w:rsidR="00CB282D" w:rsidSect="00034616">
      <w:pgSz w:w="12240" w:h="15840"/>
      <w:pgMar w:top="907" w:right="1247" w:bottom="90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5906762">
    <w:abstractNumId w:val="8"/>
  </w:num>
  <w:num w:numId="2" w16cid:durableId="1675957670">
    <w:abstractNumId w:val="6"/>
  </w:num>
  <w:num w:numId="3" w16cid:durableId="635335434">
    <w:abstractNumId w:val="5"/>
  </w:num>
  <w:num w:numId="4" w16cid:durableId="1694261031">
    <w:abstractNumId w:val="4"/>
  </w:num>
  <w:num w:numId="5" w16cid:durableId="857163341">
    <w:abstractNumId w:val="7"/>
  </w:num>
  <w:num w:numId="6" w16cid:durableId="755133819">
    <w:abstractNumId w:val="3"/>
  </w:num>
  <w:num w:numId="7" w16cid:durableId="1825050992">
    <w:abstractNumId w:val="2"/>
  </w:num>
  <w:num w:numId="8" w16cid:durableId="1195311733">
    <w:abstractNumId w:val="1"/>
  </w:num>
  <w:num w:numId="9" w16cid:durableId="21419906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63E1"/>
    <w:rsid w:val="0029639D"/>
    <w:rsid w:val="00326F90"/>
    <w:rsid w:val="003B4D4B"/>
    <w:rsid w:val="003C5BEA"/>
    <w:rsid w:val="00467825"/>
    <w:rsid w:val="006441EB"/>
    <w:rsid w:val="006520FC"/>
    <w:rsid w:val="00663E16"/>
    <w:rsid w:val="008E28F1"/>
    <w:rsid w:val="00AA1D8D"/>
    <w:rsid w:val="00B47730"/>
    <w:rsid w:val="00BA6ED8"/>
    <w:rsid w:val="00BE7C6B"/>
    <w:rsid w:val="00CB0664"/>
    <w:rsid w:val="00CB282D"/>
    <w:rsid w:val="00CD5F4B"/>
    <w:rsid w:val="00E72B4F"/>
    <w:rsid w:val="00EC3C3F"/>
    <w:rsid w:val="00F609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A6E0E0"/>
  <w14:defaultImageDpi w14:val="300"/>
  <w15:docId w15:val="{7B2FB92D-2A09-4A61-AEC5-7A5FA1DBE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47556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 Id="rId101" Type="http://schemas.openxmlformats.org/officeDocument/2006/relationships/image" Target="media/image8.png"/><Relationship Id="rId102" Type="http://schemas.openxmlformats.org/officeDocument/2006/relationships/image" Target="media/image9.png"/><Relationship Id="rId103" Type="http://schemas.openxmlformats.org/officeDocument/2006/relationships/image" Target="media/image10.png"/><Relationship Id="rId15"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7</Pages>
  <Words>2082</Words>
  <Characters>11871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Turley</cp:lastModifiedBy>
  <cp:revision>2</cp:revision>
  <dcterms:created xsi:type="dcterms:W3CDTF">2026-08-06T21:24:00Z</dcterms:created>
  <dcterms:modified xsi:type="dcterms:W3CDTF">2026-08-06T21:24:00Z</dcterms:modified>
  <cp:category/>
</cp:coreProperties>
</file>