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drawing>
          <wp:inline xmlns:a="http://schemas.openxmlformats.org/drawingml/2006/main" xmlns:pic="http://schemas.openxmlformats.org/drawingml/2006/picture">
            <wp:extent cx="1655999" cy="409175"/>
            <wp:docPr id="1" name="Picture 1"/>
            <wp:cNvGraphicFramePr>
              <a:graphicFrameLocks noChangeAspect="1"/>
            </wp:cNvGraphicFramePr>
            <a:graphic>
              <a:graphicData uri="http://schemas.openxmlformats.org/drawingml/2006/picture">
                <pic:pic>
                  <pic:nvPicPr>
                    <pic:cNvPr id="0" name="planitber-logo.png"/>
                    <pic:cNvPicPr/>
                  </pic:nvPicPr>
                  <pic:blipFill>
                    <a:blip r:embed="rId9"/>
                    <a:stretch>
                      <a:fillRect/>
                    </a:stretch>
                  </pic:blipFill>
                  <pic:spPr>
                    <a:xfrm>
                      <a:off x="0" y="0"/>
                      <a:ext cx="1655999" cy="409175"/>
                    </a:xfrm>
                    <a:prstGeom prst="rect"/>
                  </pic:spPr>
                </pic:pic>
              </a:graphicData>
            </a:graphic>
          </wp:inline>
        </w:drawing>
      </w:r>
    </w:p>
    <w:p>
      <w:r>
        <w:rPr>
          <w:b/>
          <w:color w:val="1E293B"/>
          <w:sz w:val="44"/>
        </w:rPr>
        <w:t>PlanitBER — Value Proposition</w:t>
      </w:r>
    </w:p>
    <w:p>
      <w:pPr>
        <w:spacing w:after="120"/>
      </w:pPr>
      <w:r>
        <w:rPr>
          <w:b/>
          <w:color w:val="1E293B"/>
        </w:rPr>
        <w:t>One cost language for Ireland's retrofit industry.</w:t>
      </w:r>
    </w:p>
    <w:p>
      <w:pPr>
        <w:spacing w:after="120"/>
      </w:pPr>
      <w:r>
        <w:t>Retrofit stalls where the parties stop speaking the same language. The assessor recommends measures, the homeowner guesses at the cost, the contractor quotes against an undefined scope, the lender asks for evidence nobody can supply, and SEAI pays grants against figures that were never reconciled to anything.</w:t>
      </w:r>
    </w:p>
    <w:p>
      <w:pPr>
        <w:spacing w:after="120"/>
      </w:pPr>
      <w:r>
        <w:t xml:space="preserve">The </w:t>
      </w:r>
      <w:r>
        <w:rPr>
          <w:b/>
          <w:color w:val="1E293B"/>
        </w:rPr>
        <w:t>Retrofit Cost Plan</w:t>
      </w:r>
      <w:r>
        <w:t xml:space="preserve"> gives all of them one document, built on one published method, that each can read from their own side: the cost of every recommended measure, the SEAI grant against it, and the net figure the homeowner must fund. It is produced by the </w:t>
      </w:r>
      <w:r>
        <w:rPr>
          <w:b/>
          <w:color w:val="1E293B"/>
        </w:rPr>
        <w:t>BER assessor</w:t>
      </w:r>
      <w:r>
        <w:t xml:space="preserve"> from the survey already carried out, using PlanitBER — software built by practising BER assessors.</w:t>
      </w:r>
    </w:p>
    <w:p>
      <w:pPr>
        <w:spacing w:after="120"/>
      </w:pPr>
      <w:r>
        <w:rPr>
          <w:b/>
          <w:color w:val="1E293B"/>
        </w:rPr>
        <w:t>What we are asking of SEAI:</w:t>
      </w:r>
      <w:r>
        <w:t xml:space="preserve"> a funded pilot partnership, leading to recognition of the Retrofit Cost Plan as a standard cost document for Irish home retrofit. Every figure in this pack came from working software, and that software is at demonstration stage. We are not asking SEAI to fund an idea — we are asking for help to finish and prove something that already works.</w:t>
      </w:r>
    </w:p>
    <w:p>
      <w:pPr>
        <w:spacing w:before="280" w:after="80"/>
      </w:pPr>
      <w:r>
        <w:rPr>
          <w:b/>
          <w:color w:val="B07D1A"/>
          <w:sz w:val="30"/>
        </w:rPr>
        <w:t>1. The problem</w:t>
      </w:r>
    </w:p>
    <w:p>
      <w:pPr>
        <w:spacing w:after="120"/>
      </w:pPr>
      <w:r>
        <w:t xml:space="preserve">Ireland has committed to retrofitting </w:t>
      </w:r>
      <w:r>
        <w:rPr>
          <w:b/>
          <w:color w:val="1E293B"/>
        </w:rPr>
        <w:t>500,000 homes to B2 or better by 2030</w:t>
      </w:r>
      <w:r>
        <w:t xml:space="preserve"> and is well behind target. The obstacle is not awareness, and it is not the level of grant support.</w:t>
      </w:r>
    </w:p>
    <w:p>
      <w:pPr>
        <w:spacing w:after="120"/>
      </w:pPr>
      <w:r>
        <w:rPr>
          <w:b/>
          <w:color w:val="1E293B"/>
        </w:rPr>
        <w:t>1. Cost uncertainty stops homeowners acting.</w:t>
      </w:r>
      <w:r>
        <w:t xml:space="preserve"> An assessment says what needs upgrading but puts no price on it. Homeowners don't know whether that means €8,000 or €80,000, so they don't apply for grants, don't approach their bank, and don't proceed.</w:t>
      </w:r>
    </w:p>
    <w:p>
      <w:pPr>
        <w:spacing w:after="120"/>
      </w:pPr>
      <w:r>
        <w:rPr>
          <w:b/>
          <w:color w:val="1E293B"/>
        </w:rPr>
        <w:t>2. Without a reference point, a fair quote and an inflated one look identical.</w:t>
      </w:r>
      <w:r>
        <w:t xml:space="preserve"> That costs honest contractors twice — they lose work to quotes that only look cheaper because items were left out, and they spend unpaid hours pricing enquiries that were never realistic. It costs the scheme too, because homeowners who suspect the grant becomes someone else's margin walk away.</w:t>
      </w:r>
    </w:p>
    <w:p>
      <w:pPr>
        <w:spacing w:after="120"/>
      </w:pPr>
      <w:r>
        <w:rPr>
          <w:b/>
          <w:color w:val="1E293B"/>
        </w:rPr>
        <w:t>3. Nothing bridges assessment and action.</w:t>
      </w:r>
      <w:r>
        <w:t xml:space="preserve"> The homeowner is left with a list of recommendations and no way to act on them, and the window in which they were motivated closes.</w:t>
      </w:r>
    </w:p>
    <w:p>
      <w:pPr>
        <w:spacing w:before="280" w:after="80"/>
      </w:pPr>
      <w:r>
        <w:rPr>
          <w:b/>
          <w:color w:val="B07D1A"/>
          <w:sz w:val="30"/>
        </w:rPr>
        <w:t>2. How the Retrofit Cost Plan answers it</w:t>
      </w:r>
    </w:p>
    <w:p>
      <w:pPr>
        <w:spacing w:after="120"/>
      </w:pPr>
      <w:r>
        <w:rPr>
          <w:b/>
          <w:color w:val="1E293B"/>
        </w:rPr>
        <w:t>1. It gives a credible number.</w:t>
      </w:r>
      <w:r>
        <w:t xml:space="preserve"> An itemised budget built from the geometry the assessor already measured, using county-adjusted labour and current Irish material pricing, fully loaded (overhead and profit 12%, contingency 10%, VAT 13.5%; Solar PV 0%). Heat pumps are sized from the Heat Loss Indicator to IS EN 12831, not estimated from floor area.</w:t>
      </w:r>
    </w:p>
    <w:p>
      <w:pPr>
        <w:spacing w:after="120"/>
      </w:pPr>
      <w:r>
        <w:rPr>
          <w:b/>
          <w:color w:val="1E293B"/>
        </w:rPr>
        <w:t>2. It gives everyone the same reference point.</w:t>
      </w:r>
      <w:r>
        <w:t xml:space="preserve"> Costs are set out independently of anyone selling the works, with grants deducted line by line, on a rate basis that is published rather than asserted.</w:t>
      </w:r>
    </w:p>
    <w:p>
      <w:pPr>
        <w:spacing w:after="120"/>
      </w:pPr>
      <w:r>
        <w:rPr>
          <w:b/>
          <w:color w:val="1E293B"/>
        </w:rPr>
        <w:t>3. It closes the gap between advice and action.</w:t>
      </w:r>
      <w:r>
        <w:t xml:space="preserve"> Produced from the survey already done — no return visit, no re-measuring — and issued with the BER documentation as part of the same job.</w:t>
      </w:r>
    </w:p>
    <w:p>
      <w:pPr>
        <w:spacing w:after="120"/>
      </w:pPr>
      <w:r>
        <w:t>The result is alignment: advice, quote, budget, loan file and grant all referencing the same scope and the same rates, so disputes fall because there is something agreed to point at. That is a benefit to the sector rather than a feature of a product, and it is why SEAI's endorsement matters more than any marketing on our side.</w:t>
      </w:r>
    </w:p>
    <w:p>
      <w:pPr>
        <w:spacing w:after="120"/>
      </w:pPr>
      <w:r>
        <w:rPr>
          <w:b/>
          <w:color w:val="1E293B"/>
        </w:rPr>
        <w:t>The document.</w:t>
      </w:r>
      <w:r>
        <w:t xml:space="preserve"> Page 1 is the homeowner's summary — one row per measure with scope, cost, grant and net, plus an actual-spend column for tracking works. The pages behind it are the evidence: the loading methodology totalling exactly to the headline, and an itemised appendix down to unit rates. Both stay in one document so they can never drift apart.</w:t>
      </w:r>
    </w:p>
    <w:tbl>
      <w:tblPr>
        <w:tblStyle w:val="LightGrid-Accent1"/>
        <w:tblW w:type="auto" w:w="0"/>
        <w:tblLook w:firstColumn="1" w:firstRow="1" w:lastColumn="0" w:lastRow="0" w:noHBand="0" w:noVBand="1" w:val="04A0"/>
      </w:tblPr>
      <w:tblGrid>
        <w:gridCol w:w="4873"/>
        <w:gridCol w:w="4873"/>
      </w:tblGrid>
      <w:tr>
        <w:tc>
          <w:tcPr>
            <w:tcW w:type="dxa" w:w="4873"/>
          </w:tcPr>
          <w:p>
            <w:r>
              <w:rPr>
                <w:b/>
                <w:sz w:val="19"/>
              </w:rPr>
              <w:t>Party</w:t>
            </w:r>
          </w:p>
        </w:tc>
        <w:tc>
          <w:tcPr>
            <w:tcW w:type="dxa" w:w="4873"/>
          </w:tcPr>
          <w:p>
            <w:r>
              <w:rPr>
                <w:b/>
                <w:sz w:val="19"/>
              </w:rPr>
              <w:t>How they use it</w:t>
            </w:r>
          </w:p>
        </w:tc>
      </w:tr>
      <w:tr>
        <w:tc>
          <w:tcPr>
            <w:tcW w:type="dxa" w:w="9746"/>
            <w:gridSpan w:val="2"/>
            <w:shd w:val="clear" w:color="auto" w:fill="1E293B"/>
          </w:tcPr>
          <w:p>
            <w:r>
              <w:rPr>
                <w:b/>
                <w:color w:val="FFFFFF"/>
                <w:sz w:val="17"/>
              </w:rPr>
              <w:t>PRODUCES THE COST PLAN</w:t>
            </w:r>
          </w:p>
        </w:tc>
      </w:tr>
      <w:tr>
        <w:tc>
          <w:tcPr>
            <w:tcW w:type="dxa" w:w="4873"/>
            <w:shd w:val="clear" w:color="auto" w:fill="FDF3E0"/>
          </w:tcPr>
          <w:p>
            <w:r>
              <w:rPr>
                <w:b/>
                <w:color w:val="1E293B"/>
                <w:sz w:val="19"/>
              </w:rPr>
              <w:t>BER Assessors</w:t>
            </w:r>
          </w:p>
        </w:tc>
        <w:tc>
          <w:tcPr>
            <w:tcW w:type="dxa" w:w="4873"/>
            <w:shd w:val="clear" w:color="auto" w:fill="FDF3E0"/>
          </w:tcPr>
          <w:p>
            <w:r>
              <w:rPr>
                <w:sz w:val="19"/>
              </w:rPr>
              <w:t>Add a costed plan to the advice they already give, issued with the BER documentation. Uses the survey already carried out; no return visit.</w:t>
            </w:r>
          </w:p>
        </w:tc>
      </w:tr>
      <w:tr>
        <w:tc>
          <w:tcPr>
            <w:tcW w:type="dxa" w:w="9746"/>
            <w:gridSpan w:val="2"/>
            <w:shd w:val="clear" w:color="auto" w:fill="1E293B"/>
          </w:tcPr>
          <w:p>
            <w:r>
              <w:rPr>
                <w:b/>
                <w:color w:val="FFFFFF"/>
                <w:sz w:val="17"/>
              </w:rPr>
              <w:t>RELIES ON IT</w:t>
            </w:r>
          </w:p>
        </w:tc>
      </w:tr>
      <w:tr>
        <w:tc>
          <w:tcPr>
            <w:tcW w:type="dxa" w:w="4873"/>
          </w:tcPr>
          <w:p>
            <w:r>
              <w:rPr>
                <w:b/>
                <w:color w:val="1E293B"/>
                <w:sz w:val="19"/>
              </w:rPr>
              <w:t>Homeowners and Project Coordinators</w:t>
            </w:r>
          </w:p>
        </w:tc>
        <w:tc>
          <w:tcPr>
            <w:tcW w:type="dxa" w:w="4873"/>
          </w:tcPr>
          <w:p>
            <w:r>
              <w:rPr>
                <w:sz w:val="19"/>
              </w:rPr>
              <w:t>Homeowners see the real cost before engaging anyone and can judge a quote against an independent benchmark. Coordinators price and pre-qualify projects on that same basis — under CEG, where several contractors price one project, a shared scope is what makes them comparable.</w:t>
            </w:r>
          </w:p>
        </w:tc>
      </w:tr>
      <w:tr>
        <w:tc>
          <w:tcPr>
            <w:tcW w:type="dxa" w:w="4873"/>
          </w:tcPr>
          <w:p>
            <w:r>
              <w:rPr>
                <w:b/>
                <w:color w:val="1E293B"/>
                <w:sz w:val="19"/>
              </w:rPr>
              <w:t>Contractors quoting for Better Energy Homes, CEG and One Stop Shop</w:t>
            </w:r>
          </w:p>
        </w:tc>
        <w:tc>
          <w:tcPr>
            <w:tcW w:type="dxa" w:w="4873"/>
          </w:tcPr>
          <w:p>
            <w:r>
              <w:rPr>
                <w:sz w:val="19"/>
              </w:rPr>
              <w:t>The same defined scope in front of every competitor pricing the job. Fewer wasted site visits, fewer scope disputes, and no losing work to a quote that only looks cheaper.</w:t>
            </w:r>
          </w:p>
        </w:tc>
      </w:tr>
      <w:tr>
        <w:tc>
          <w:tcPr>
            <w:tcW w:type="dxa" w:w="4873"/>
          </w:tcPr>
          <w:p>
            <w:r>
              <w:rPr>
                <w:b/>
                <w:color w:val="1E293B"/>
                <w:sz w:val="19"/>
              </w:rPr>
              <w:t>Better Energy Homes, CEG and One Stop Shop</w:t>
            </w:r>
          </w:p>
        </w:tc>
        <w:tc>
          <w:tcPr>
            <w:tcW w:type="dxa" w:w="4873"/>
          </w:tcPr>
          <w:p>
            <w:r>
              <w:rPr>
                <w:sz w:val="19"/>
              </w:rPr>
              <w:t>One scope and one set of rates sitting behind an application, whichever route the homeowner takes.</w:t>
            </w:r>
          </w:p>
        </w:tc>
      </w:tr>
      <w:tr>
        <w:tc>
          <w:tcPr>
            <w:tcW w:type="dxa" w:w="4873"/>
          </w:tcPr>
          <w:p>
            <w:r>
              <w:rPr>
                <w:b/>
                <w:color w:val="1E293B"/>
                <w:sz w:val="19"/>
              </w:rPr>
              <w:t>Banks &amp; Credit Unions</w:t>
            </w:r>
          </w:p>
        </w:tc>
        <w:tc>
          <w:tcPr>
            <w:tcW w:type="dxa" w:w="4873"/>
          </w:tcPr>
          <w:p>
            <w:r>
              <w:rPr>
                <w:sz w:val="19"/>
              </w:rPr>
              <w:t>A consistent, contractor-independent cost document for green loan applications.</w:t>
            </w:r>
          </w:p>
        </w:tc>
      </w:tr>
      <w:tr>
        <w:tc>
          <w:tcPr>
            <w:tcW w:type="dxa" w:w="4873"/>
          </w:tcPr>
          <w:p>
            <w:r>
              <w:rPr>
                <w:b/>
                <w:color w:val="1E293B"/>
                <w:sz w:val="19"/>
              </w:rPr>
              <w:t>Local Authorities &amp; AHBs</w:t>
            </w:r>
          </w:p>
        </w:tc>
        <w:tc>
          <w:tcPr>
            <w:tcW w:type="dxa" w:w="4873"/>
          </w:tcPr>
          <w:p>
            <w:r>
              <w:rPr>
                <w:sz w:val="19"/>
              </w:rPr>
              <w:t>Bulk estimation and budget forecasting for estate programmes.</w:t>
            </w:r>
          </w:p>
        </w:tc>
      </w:tr>
      <w:tr>
        <w:tc>
          <w:tcPr>
            <w:tcW w:type="dxa" w:w="4873"/>
          </w:tcPr>
          <w:p>
            <w:r>
              <w:rPr>
                <w:b/>
                <w:color w:val="1E293B"/>
                <w:sz w:val="19"/>
              </w:rPr>
              <w:t>SEAI</w:t>
            </w:r>
          </w:p>
        </w:tc>
        <w:tc>
          <w:tcPr>
            <w:tcW w:type="dxa" w:w="4873"/>
          </w:tcPr>
          <w:p>
            <w:r>
              <w:rPr>
                <w:sz w:val="19"/>
              </w:rPr>
              <w:t>Real-market cost evidence to calibrate grant rates, and a consistent way to show homeowners what an upgrade costs.</w:t>
            </w:r>
          </w:p>
        </w:tc>
      </w:tr>
    </w:tbl>
    <w:p>
      <w:pPr>
        <w:spacing w:after="120"/>
      </w:pPr>
      <w:r>
        <w:rPr>
          <w:b/>
          <w:color w:val="1E293B"/>
        </w:rPr>
        <w:t>The three routes.</w:t>
      </w:r>
      <w:r>
        <w:t xml:space="preserve"> A homeowner reaches the same works one of three ways — a One Stop Shop delivering everything through one company, a CEG project where a coordinator runs several contractors, or Better Energy Homes where the homeowner appoints contractors and does the administration themselves. The Cost Plan prices all three, so the choice can be made on evidence rather than on which grant total looks largest.</w:t>
      </w:r>
    </w:p>
    <w:p>
      <w:pPr>
        <w:spacing w:after="120"/>
      </w:pPr>
      <w:r>
        <w:t>CEG and Better Energy Homes price the same works identically. CEG then covers what Better Energy Homes does not — ventilation, rafter-level roof insulation, airtightness and a project management grant — against a requirement that every home improves by at least 100 kWh/m²/year, which is why it suits larger coordinated projects rather than one-off measures.</w:t>
      </w:r>
    </w:p>
    <w:p>
      <w:pPr>
        <w:spacing w:after="120"/>
      </w:pPr>
      <w:r>
        <w:t xml:space="preserve">Running a retrofit and claiming the grants costs money, and the plan prices it rather than hiding it. On a typical CEG project that is a </w:t>
      </w:r>
      <w:r>
        <w:rPr>
          <w:b/>
          <w:color w:val="1E293B"/>
        </w:rPr>
        <w:t>€4,600 administration charge against a €2,000 project management grant</w:t>
      </w:r>
      <w:r>
        <w:t xml:space="preserve"> — a €2,600 net cost a homeowner comparing grant totals alone would never see. A One Stop Shop does not itemise that charge at all; it sits inside a single all-in price.</w:t>
      </w:r>
    </w:p>
    <w:p>
      <w:pPr>
        <w:spacing w:after="120"/>
      </w:pPr>
      <w:r>
        <w:rPr>
          <w:b/>
          <w:color w:val="1E293B"/>
        </w:rPr>
        <w:t>A note on the One Stop Shop uplift.</w:t>
      </w:r>
      <w:r>
        <w:t xml:space="preserve"> A One Stop Shop carries the same management cost a coordinator would and claims the same grants against it. What differs is the works: one provider carrying the whole job prices above a coordinated project where contractors are still competing. The plan adds an uplift to the works before that management cost — currently </w:t>
      </w:r>
      <w:r>
        <w:rPr>
          <w:b/>
          <w:color w:val="1E293B"/>
        </w:rPr>
        <w:t>12.5%, the midpoint of an expected 10–15% range</w:t>
      </w:r>
      <w:r>
        <w:t xml:space="preserve"> — which puts the route roughly 11–12% above CEG on a whole-house upgrade. That figure is a working assumption, not a finding. It is labelled provisional on every plan and adjustable in the rate settings, and establishing the real one is a named job of the pilot. We would rather show the assumption and have it corrected than leave the comparison out and let homeowners assume the routes cost the same.</w:t>
      </w:r>
    </w:p>
    <w:p>
      <w:pPr>
        <w:spacing w:before="280" w:after="80"/>
      </w:pPr>
      <w:r>
        <w:rPr>
          <w:b/>
          <w:color w:val="B07D1A"/>
          <w:sz w:val="30"/>
        </w:rPr>
        <w:t>3. The pilot</w:t>
      </w:r>
    </w:p>
    <w:p>
      <w:pPr>
        <w:spacing w:after="120"/>
      </w:pPr>
      <w:r>
        <w:t>It turns the stated accuracy (±15–20%) into published evidence, tunes the rates and grant tables against real prices, and completes the remaining development — so what SEAI is asked to recognise has been proven first.</w:t>
      </w:r>
    </w:p>
    <w:p>
      <w:pPr>
        <w:pStyle w:val="ListBullet"/>
      </w:pPr>
      <w:r>
        <w:rPr>
          <w:b/>
          <w:color w:val="1E293B"/>
        </w:rPr>
        <w:t>Validate accuracy.</w:t>
      </w:r>
      <w:r>
        <w:t xml:space="preserve"> 50–100 live projects against real contractor quotes, across dwelling types, age bands, counties and all three routes. Publish the error distribution per measure, not an average.</w:t>
      </w:r>
    </w:p>
    <w:p>
      <w:pPr>
        <w:pStyle w:val="ListBullet"/>
      </w:pPr>
      <w:r>
        <w:rPr>
          <w:b/>
          <w:color w:val="1E293B"/>
        </w:rPr>
        <w:t>Tune the rate book and grant tables.</w:t>
      </w:r>
      <w:r>
        <w:t xml:space="preserve"> Correct what prices high or low, dated and recorded. Test CEG against real coordinator rates rather than assumed ones, and establish what a One Stop Shop actually charges over a coordinated project — the two figures currently carried as working assumptions.</w:t>
      </w:r>
    </w:p>
    <w:p>
      <w:pPr>
        <w:pStyle w:val="ListBullet"/>
      </w:pPr>
      <w:r>
        <w:rPr>
          <w:b/>
          <w:color w:val="1E293B"/>
        </w:rPr>
        <w:t>Prove the assessor workflow.</w:t>
      </w:r>
      <w:r>
        <w:t xml:space="preserve"> A Cost Plan produced from the existing survey, without a return visit or specialist QS knowledge, issued with the BER documentation.</w:t>
      </w:r>
    </w:p>
    <w:p>
      <w:pPr>
        <w:pStyle w:val="ListBullet"/>
      </w:pPr>
      <w:r>
        <w:rPr>
          <w:b/>
          <w:color w:val="1E293B"/>
        </w:rPr>
        <w:t>Capture the first actual-cost dataset.</w:t>
      </w:r>
      <w:r>
        <w:t xml:space="preserve"> Estimated-versus-actual per measure and per county — a record that exists nowhere in the programme today.</w:t>
      </w:r>
    </w:p>
    <w:p>
      <w:pPr>
        <w:pStyle w:val="ListBullet"/>
      </w:pPr>
      <w:r>
        <w:rPr>
          <w:b/>
          <w:color w:val="1E293B"/>
        </w:rPr>
        <w:t>Complete the development.</w:t>
      </w:r>
      <w:r>
        <w:t xml:space="preserve"> Energy Upgrade is ready now; Refurbishment and New Build share the same engine and follow behind it.</w:t>
      </w:r>
    </w:p>
    <w:p>
      <w:pPr>
        <w:spacing w:after="120"/>
      </w:pPr>
      <w:r>
        <w:rPr>
          <w:b/>
          <w:color w:val="1E293B"/>
        </w:rPr>
        <w:t>Success criteria, stated in advance:</w:t>
      </w:r>
      <w:r>
        <w:t xml:space="preserve"> accuracy within the published band on ≥80% of projects; a Cost Plan issued with the BER documentation on ≥90% of assessments with no return visit; a documented rate-correction cycle completed; homeowner progression to grant application tracked against a comparison group. </w:t>
      </w:r>
      <w:r>
        <w:rPr>
          <w:b/>
          <w:color w:val="1E293B"/>
        </w:rPr>
        <w:t>Timeline:</w:t>
      </w:r>
      <w:r>
        <w:t xml:space="preserve"> six months from approval.</w:t>
      </w:r>
    </w:p>
    <w:p>
      <w:pPr>
        <w:spacing w:after="120"/>
      </w:pPr>
      <w:r>
        <w:rPr>
          <w:b/>
          <w:color w:val="1E293B"/>
        </w:rPr>
        <w:t>The funding ask.</w:t>
      </w:r>
      <w:r>
        <w:t xml:space="preserve"> We are asking SEAI to fund the pilot and deliver it with us — recruiting assessors, collecting and verifying matched quotes and out-turn costs, tuning the tables, completing development, and independent analysis. Not the building of PlanitBER, which is paid for. It is worth funding because it produces the evidence that would justify endorsement, it produces a public asset in the cost dataset, and a jointly delivered pilot carries far more weight with the sector than one run by a private firm alone.</w:t>
      </w:r>
    </w:p>
    <w:p>
      <w:pPr>
        <w:spacing w:after="120"/>
      </w:pPr>
      <w:r>
        <w:rPr>
          <w:b/>
          <w:color w:val="1E293B"/>
        </w:rPr>
        <w:t>Governance and risk.</w:t>
      </w:r>
      <w:r>
        <w:t xml:space="preserve"> We would welcome a formal SEAI role in governing the method — the rate book, the grant tables, their sources and every revision open to review, with changes published and dated; annual approval if SEAI prefers. Every Cost Plan is labelled an indicative estimate with its accuracy band on its face, and Turley Energy Consultants carries professional indemnity insurance; recognition would carry no liability for SEAI. Data shared with SEAI is aggregated and anonymised, with homeowner consent. The Cost Plan is free to homeowners; assessors access PlanitBER under an annual licence, priced to be recoverable from a single assessment, and we take no commission, referral fee or contractor advertising from anyone.</w:t>
      </w:r>
    </w:p>
    <w:p>
      <w:pPr>
        <w:spacing w:before="280" w:after="80"/>
      </w:pPr>
      <w:r>
        <w:rPr>
          <w:b/>
          <w:color w:val="B07D1A"/>
          <w:sz w:val="30"/>
        </w:rPr>
        <w:t>4. What it can become</w:t>
      </w:r>
    </w:p>
    <w:p>
      <w:pPr>
        <w:spacing w:after="120"/>
      </w:pPr>
      <w:r>
        <w:t>Ireland completes roughly 100,000 assessments a year and almost none leave the homeowner with a credible number. Recognition would make the Retrofit Cost Plan the consistent format in which that number is given nationwide — the examples in this pack come from two counties at opposite ends of the labour-cost range, to show the same specification correctly regionalised.</w:t>
      </w:r>
    </w:p>
    <w:p>
      <w:pPr>
        <w:spacing w:after="120"/>
      </w:pPr>
      <w:r>
        <w:t>At scale the estimated-versus-actual dataset becomes a live index of retrofit costs by measure, dwelling type and county: the reference SEAI needs to calibrate grant rates and demonstrate value for money. Beyond that, SEAI's eligibility rules can be built into the method, so a plan that prices a grant is a plan that qualifies for it — and the Cost Plan becomes the standard cost document for retrofit lending that banks currently lack.</w:t>
      </w:r>
    </w:p>
    <w:p>
      <w:pPr>
        <w:spacing w:after="120"/>
      </w:pPr>
      <w:r>
        <w:rPr>
          <w:b/>
          <w:color w:val="1E293B"/>
        </w:rPr>
        <w:t>The path we propose:</w:t>
      </w:r>
    </w:p>
    <w:p>
      <w:pPr>
        <w:spacing w:after="80"/>
        <w:ind w:left="454" w:hanging="454"/>
      </w:pPr>
      <w:r>
        <w:rPr>
          <w:b/>
          <w:color w:val="1E293B"/>
        </w:rPr>
        <w:t xml:space="preserve">1.  </w:t>
      </w:r>
      <w:r>
        <w:rPr>
          <w:b/>
          <w:color w:val="1E293B"/>
        </w:rPr>
        <w:t>Funded pilot</w:t>
      </w:r>
      <w:r>
        <w:t xml:space="preserve"> — accuracy report, tuned rates and grant tables, actual-cost dataset, rate governance.</w:t>
      </w:r>
    </w:p>
    <w:p>
      <w:pPr>
        <w:spacing w:after="80"/>
        <w:ind w:left="454" w:hanging="454"/>
      </w:pPr>
      <w:r>
        <w:rPr>
          <w:b/>
          <w:color w:val="1E293B"/>
        </w:rPr>
        <w:t xml:space="preserve">2.  </w:t>
      </w:r>
      <w:r>
        <w:rPr>
          <w:b/>
          <w:color w:val="1E293B"/>
        </w:rPr>
        <w:t>Recognition</w:t>
      </w:r>
      <w:r>
        <w:t xml:space="preserve"> — the Retrofit Cost Plan as a standard cost document, PlanitBER as the means of producing it.</w:t>
      </w:r>
    </w:p>
    <w:p>
      <w:pPr>
        <w:spacing w:after="80"/>
        <w:ind w:left="454" w:hanging="454"/>
      </w:pPr>
      <w:r>
        <w:rPr>
          <w:b/>
          <w:color w:val="1E293B"/>
        </w:rPr>
        <w:t xml:space="preserve">3.  </w:t>
      </w:r>
      <w:r>
        <w:rPr>
          <w:b/>
          <w:color w:val="1E293B"/>
        </w:rPr>
        <w:t>Wider role</w:t>
      </w:r>
      <w:r>
        <w:t xml:space="preserve"> — subject to proven accuracy, supporting retrofit lending and, in time, grant applications.</w:t>
      </w:r>
    </w:p>
    <w:p>
      <w:pPr>
        <w:spacing w:after="120"/>
      </w:pPr>
      <w:r>
        <w:t>Each step produces something concrete before the next is asked for. What we are seeking is a partner rather than a customer: joint delivery, shared oversight, findings that belong to the sector. A standard the industry trusts is one SEAI stands over, and we would rather build that with SEAI than alongside it.</w:t>
      </w:r>
    </w:p>
    <w:p>
      <w:pPr>
        <w:spacing w:after="120"/>
      </w:pPr>
      <w:r>
        <w:rPr>
          <w:i/>
        </w:rPr>
        <w:t>PlanitBER V1 · Turley Energy Consultants · Indicative accuracy ±15–20% (to be evidenced in pilot) · Independent estimate — not prepared by any contractor · Not a substitute for a formal QS report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47556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