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PlanitBER gives all of them one document, built on one published method, that each can read from their own side. It turns a completed home survey into a clear, itemised, grant-netted budget — produced during the assessment visit, set out in the format a quantity surveyor would use, and independent of anyone selling the works. It is built by practising BER assessors, for the people who do this work every day.</w:t>
      </w:r>
    </w:p>
    <w:p>
      <w:pPr>
        <w:spacing w:after="120"/>
      </w:pPr>
      <w:r>
        <w:rPr>
          <w:b/>
          <w:color w:val="1E293B"/>
        </w:rPr>
        <w:t>What we are asking of SEAI:</w:t>
      </w:r>
      <w:r>
        <w:t xml:space="preserve"> recognition and promotion of PlanitBER as an approved indicative costing tool for the retrofit sector — created by BER assessors and One Stop Shops, and relied upon by homeowners, contractors, lenders, local authorities and SEAI itself. PlanitBER is standalone software: it requires no integration with SEAI systems, no change to DEAP, and no development effort or expenditure on SEAI's side. Standalone does not mean unsupervised — we would welcome SEAI oversight of the costing methodology and rate book as a condition of recognition.</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It is that no two parties in a retrofit are working from the same number.</w:t>
      </w:r>
    </w:p>
    <w:p>
      <w:pPr>
        <w:pStyle w:val="ListBullet"/>
      </w:pPr>
      <w:r>
        <w:rPr>
          <w:b/>
          <w:color w:val="1E293B"/>
        </w:rPr>
        <w:t>The homeowner</w:t>
      </w:r>
      <w:r>
        <w:t xml:space="preserve"> is told what to upgrade but not what it costs, so cannot judge whether to proceed, apply for a grant or approach a bank. The decision stalls at the budget question.</w:t>
      </w:r>
    </w:p>
    <w:p>
      <w:pPr>
        <w:pStyle w:val="ListBullet"/>
      </w:pPr>
      <w:r>
        <w:rPr>
          <w:b/>
          <w:color w:val="1E293B"/>
        </w:rPr>
        <w:t>The contractor</w:t>
      </w:r>
      <w:r>
        <w:t xml:space="preserve"> prices an undefined scope, competing against quotes that look cheaper only because items were quietly left out, and spends unpaid hours on enquiries whose budget expectations were never realistic.</w:t>
      </w:r>
    </w:p>
    <w:p>
      <w:pPr>
        <w:pStyle w:val="ListBullet"/>
      </w:pPr>
      <w:r>
        <w:rPr>
          <w:b/>
          <w:color w:val="1E293B"/>
        </w:rPr>
        <w:t>The lender</w:t>
      </w:r>
      <w:r>
        <w:t xml:space="preserve"> is asked to finance a project with no independent evidence of what it should cost.</w:t>
      </w:r>
    </w:p>
    <w:p>
      <w:pPr>
        <w:pStyle w:val="ListBullet"/>
      </w:pPr>
      <w:r>
        <w:rPr>
          <w:b/>
          <w:color w:val="1E293B"/>
        </w:rPr>
        <w:t>SEAI</w:t>
      </w:r>
      <w:r>
        <w:t xml:space="preserve"> grant-aids measures without a consistent, verifiable statement of the works behind them.</w:t>
      </w:r>
    </w:p>
    <w:p>
      <w:pPr>
        <w:spacing w:after="120"/>
      </w:pPr>
      <w:r>
        <w:t>The result is suspicion running in both directions. The homeowner cannot tell a fair quote from an inflated one, and the contractor who prices honestly is penalised for it. What is missing is not policing — it is a common reference point.</w:t>
      </w:r>
    </w:p>
    <w:p>
      <w:pPr>
        <w:spacing w:before="200" w:after="60"/>
      </w:pPr>
      <w:r>
        <w:rPr>
          <w:b/>
          <w:color w:val="1E293B"/>
          <w:sz w:val="24"/>
        </w:rPr>
        <w:t>How PlanitBER answers it</w:t>
      </w:r>
    </w:p>
    <w:p>
      <w:pPr>
        <w:spacing w:after="120"/>
      </w:pPr>
      <w:r>
        <w:t>PlanitBER builds an itemised cost plan from survey geometry the assessor has already measured — floor, wall, roof and window areas, age band and heat loss indicator — against a measure list that mirrors SEAI's grant structure. Every figure is fully loaded: county-adjusted labour rates, current Irish material pricing, contractor's overhead and profit at 12%, contingency at 10%, and VAT at 13.5% (Solar PV at 0% per Revenue ruling). Heat pumps are sized from the Heat Loss Indicator to IS EN 12831 rather than estimated from floor area.</w:t>
      </w:r>
    </w:p>
    <w:p>
      <w:pPr>
        <w:spacing w:after="120"/>
      </w:pPr>
      <w:r>
        <w:t>One document then serves every party:</w:t>
      </w:r>
    </w:p>
    <w:p>
      <w:pPr>
        <w:pStyle w:val="ListBullet"/>
      </w:pPr>
      <w:r>
        <w:rPr>
          <w:b/>
          <w:color w:val="1E293B"/>
        </w:rPr>
        <w:t>The homeowner</w:t>
      </w:r>
      <w:r>
        <w:t xml:space="preserve"> sees the cost of each measure, the SEAI grant against it, and the net figure they must fund.</w:t>
      </w:r>
    </w:p>
    <w:p>
      <w:pPr>
        <w:pStyle w:val="ListBullet"/>
      </w:pPr>
      <w:r>
        <w:rPr>
          <w:b/>
          <w:color w:val="1E293B"/>
        </w:rPr>
        <w:t>The contractor</w:t>
      </w:r>
      <w:r>
        <w:t xml:space="preserve"> prices a defined scope that every competitor is pricing too, with a published rate basis to stand over their figure when it is questioned.</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with an actual-spend column for tracking works as they progress. Written to be read by homeowner, lender and contractor alike.</w:t>
      </w:r>
    </w:p>
    <w:p>
      <w:pPr>
        <w:spacing w:after="80"/>
        <w:ind w:left="454" w:hanging="454"/>
      </w:pPr>
      <w:r>
        <w:rPr>
          <w:b/>
          <w:color w:val="1E293B"/>
        </w:rPr>
        <w:t xml:space="preserve">2.  </w:t>
      </w:r>
      <w:r>
        <w:rPr>
          <w:b/>
          <w:color w:val="1E293B"/>
        </w:rPr>
        <w:t>Detailed Cost Plan</w:t>
      </w:r>
      <w:r>
        <w:t xml:space="preserve"> — the same table plus the pricing basis for each measure, the full loading methodology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Better Energy Homes and One Stop Shop at current rates, and the SEAI-registered trades the project requires.</w:t>
      </w:r>
    </w:p>
    <w:p>
      <w:pPr>
        <w:spacing w:before="200" w:after="60"/>
      </w:pPr>
      <w:r>
        <w:rPr>
          <w:b/>
          <w:color w:val="1E293B"/>
          <w:sz w:val="24"/>
        </w:rPr>
        <w:t>Who uses it, and who benefits</w:t>
      </w:r>
    </w:p>
    <w:p>
      <w:pPr>
        <w:spacing w:after="120"/>
      </w:pPr>
      <w:r>
        <w:t xml:space="preserve">The cost plan is </w:t>
      </w:r>
      <w:r>
        <w:rPr>
          <w:b/>
          <w:color w:val="1E293B"/>
        </w:rPr>
        <w:t>created by the BER assessor or One Stop Shop</w:t>
      </w:r>
      <w:r>
        <w:t xml:space="preserve"> — the professionals who have already surveyed the home and hold the measurements. Everyone else works from the document they produce.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9746"/>
            <w:gridSpan w:val="2"/>
            <w:shd w:val="clear" w:color="auto" w:fill="1E293B"/>
          </w:tcPr>
          <w:p>
            <w:r>
              <w:rPr>
                <w:b/>
                <w:color w:val="FFFFFF"/>
                <w:sz w:val="17"/>
              </w:rPr>
              <w:t>CREATES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within the same visit — turning an assessment into a complete, actionable conversation. Built by assessors, so it asks only for measurements they already take.</w:t>
            </w:r>
          </w:p>
        </w:tc>
      </w:tr>
      <w:tr>
        <w:tc>
          <w:tcPr>
            <w:tcW w:type="dxa" w:w="4873"/>
            <w:shd w:val="clear" w:color="auto" w:fill="FDF3E0"/>
          </w:tcPr>
          <w:p>
            <w:r>
              <w:rPr>
                <w:b/>
                <w:color w:val="1E293B"/>
                <w:sz w:val="19"/>
              </w:rPr>
              <w:t>One Stop Shops</w:t>
            </w:r>
          </w:p>
        </w:tc>
        <w:tc>
          <w:tcPr>
            <w:tcW w:type="dxa" w:w="4873"/>
            <w:shd w:val="clear" w:color="auto" w:fill="FDF3E0"/>
          </w:tcPr>
          <w:p>
            <w:r>
              <w:rPr>
                <w:sz w:val="19"/>
              </w:rPr>
              <w:t>Produce feasibility costs and pre-qualify projects before committing to a full survey, then use the same document to set client expectations from the outset.</w:t>
            </w:r>
          </w:p>
        </w:tc>
      </w:tr>
      <w:tr>
        <w:tc>
          <w:tcPr>
            <w:tcW w:type="dxa" w:w="9746"/>
            <w:gridSpan w:val="2"/>
            <w:shd w:val="clear" w:color="auto" w:fill="1E293B"/>
          </w:tcPr>
          <w:p>
            <w:r>
              <w:rPr>
                <w:b/>
                <w:color w:val="FFFFFF"/>
                <w:sz w:val="17"/>
              </w:rPr>
              <w:t>BENEFITS FROM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estimate.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converts PlanitBER's stated accuracy (±15–20%) from a claim into published evidence, and proves the tool works in the field before SEAI puts its name near it.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both grant schemes. Publish the error distribution per measure, not merely an average. Where a measure prices consistently high or low, the rate book is corrected and the correction dated and recorded.</w:t>
      </w:r>
    </w:p>
    <w:p>
      <w:pPr>
        <w:spacing w:after="120"/>
      </w:pPr>
      <w:r>
        <w:rPr>
          <w:b/>
          <w:color w:val="1E293B"/>
        </w:rPr>
        <w:t>Prove the assessor workflow.</w:t>
      </w:r>
    </w:p>
    <w:p>
      <w:pPr>
        <w:spacing w:after="120"/>
      </w:pPr>
      <w:r>
        <w:t>Confirm assessors can produce a cost plan within the visit, without specialist quantity surveying knowledge. Success is a cost plan in the homeowner's hand at the same appointment.</w:t>
      </w:r>
    </w:p>
    <w:p>
      <w:pPr>
        <w:spacing w:after="120"/>
      </w:pPr>
      <w:r>
        <w:rPr>
          <w:b/>
          <w:color w:val="1E293B"/>
        </w:rPr>
        <w:t>Capture the first actual-cost dataset.</w:t>
      </w:r>
    </w:p>
    <w:p>
      <w:pPr>
        <w:spacing w:after="120"/>
      </w:pPr>
      <w:r>
        <w:t>Estimated-versus-actual figures, per measure and per county, seed a retrofit out-turn cost dataset that does not currently exist anywhere in the programme. Aggregated and anonymised, it is offered to SEAI as a direct output of the trial.</w:t>
      </w:r>
    </w:p>
    <w:p>
      <w:pPr>
        <w:spacing w:after="120"/>
      </w:pPr>
      <w:r>
        <w:rPr>
          <w:b/>
          <w:color w:val="1E293B"/>
        </w:rPr>
        <w:t>Establish rate governance.</w:t>
      </w:r>
    </w:p>
    <w:p>
      <w:pPr>
        <w:spacing w:after="120"/>
      </w:pPr>
      <w:r>
        <w:t>Formalise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same-day on at least 90% of assessments;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review, with all rate and loading changes published and dated. If SEAI would prefer to approve the rate book annually, or set parameters the tool must apply, we would accept that as a condition of recognition.</w:t>
      </w:r>
    </w:p>
    <w:p>
      <w:pPr>
        <w:spacing w:after="120"/>
      </w:pPr>
      <w:r>
        <w:rPr>
          <w:b/>
          <w:color w:val="1E293B"/>
        </w:rPr>
        <w:t>Partnership and support for the trial.</w:t>
      </w:r>
      <w:r>
        <w:t xml:space="preserve"> Recognition itself costs SEAI nothing, and we are not asking for funding to obtain it. The trial is a different proposition: it produces something that outlives any one tool — the first structured record of what Irish retrofits actually cost. We are prepared to fund and run it ourselves. If SEAI would prefer to co-fund it, or to run it under an existing research, pilot or demonstration programme, we would welcome that, and the resulting dataset would be SEAI's to publish as it sees fit. A trial conducted jointly would also carry considerably more weight with assessors, contractors and lenders than one we conduct alone.</w:t>
      </w:r>
    </w:p>
    <w:p>
      <w:pPr>
        <w:spacing w:after="120"/>
      </w:pPr>
      <w:r>
        <w:rPr>
          <w:b/>
          <w:color w:val="1E293B"/>
        </w:rPr>
        <w:t>Liability.</w:t>
      </w:r>
      <w:r>
        <w:t xml:space="preserve"> Every output is labelled an indicative estimate — not a quotation, contract or guarantee of final cost — with the accuracy band printed on the face of the document.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Common ground for the sector.</w:t>
      </w:r>
    </w:p>
    <w:p>
      <w:pPr>
        <w:spacing w:after="120"/>
      </w:pPr>
      <w:r>
        <w:t>Ireland completes roughly 100,000 home energy assessments a year, and almost none of them leave the homeowner with a credible number. Recognition would make PlanitBER the consistent format in which that number is given — the same methodology, loading basis and grant treatment nationwide, whether the homeowner is in Dublin or Ballymote.</w:t>
      </w:r>
    </w:p>
    <w:p>
      <w:pPr>
        <w:spacing w:after="120"/>
      </w:pPr>
      <w:r>
        <w:t>The wider prize is alignment. Retrofit is delivered by professions that rarely share a document: assessors, contractors, One Stop Shops, lenders and SEAI each hold a different part of the picture, and none of it reconciles. A single recognised cost format changes that. The assessor's advice, the contractor's quote, the homeowner's budget, the lender's file and SEAI's grant all reference the same itemised scope and the same published rates. Disputes fall because there is something agreed to point at, and trust rises because everyone can see the same working. That is a sectoral benefit rather than a product feature, and it is why SEAI's endorsement matters more than any amount of marketing on our side.</w:t>
      </w:r>
    </w:p>
    <w:p>
      <w:pPr>
        <w:spacing w:after="120"/>
      </w:pPr>
      <w:r>
        <w:rPr>
          <w:b/>
          <w:color w:val="1E293B"/>
        </w:rPr>
        <w:t>A better deal for the people delivering retrofit.</w:t>
      </w:r>
    </w:p>
    <w:p>
      <w:pPr>
        <w:spacing w:after="120"/>
      </w:pPr>
      <w:r>
        <w:t xml:space="preserve">Assessors are best placed to produce this — already in the home, already measuring, already trusted to advise on improvements. PlanitBER extends that advice from </w:t>
      </w:r>
      <w:r>
        <w:rPr>
          <w:i/>
        </w:rPr>
        <w:t>what to do</w:t>
      </w:r>
      <w:r>
        <w:t xml:space="preserve"> to </w:t>
      </w:r>
      <w:r>
        <w:rPr>
          <w:i/>
        </w:rPr>
        <w:t>what it costs</w:t>
      </w:r>
      <w:r>
        <w:t>, making the visit more valuable to the homeowner and more commercially attractive to the assessor. 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encoded directly, so a plan that prices a grant is a plan that qualifies for it. A recognised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Trial</w:t>
      </w:r>
      <w:r>
        <w:t xml:space="preserve"> — accuracy report, actual-cost dataset and rate governance, delivered to SEAI.</w:t>
      </w:r>
    </w:p>
    <w:p>
      <w:pPr>
        <w:spacing w:after="80"/>
        <w:ind w:left="454" w:hanging="454"/>
      </w:pPr>
      <w:r>
        <w:rPr>
          <w:b/>
          <w:color w:val="1E293B"/>
        </w:rPr>
        <w:t xml:space="preserve">2.  </w:t>
      </w:r>
      <w:r>
        <w:rPr>
          <w:b/>
          <w:color w:val="1E293B"/>
        </w:rPr>
        <w:t>Recognition</w:t>
      </w:r>
      <w:r>
        <w:t xml:space="preserve"> — PlanitBER approved and promoted as an indicative costing tool,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gives SEAI something concrete — evidence, cost data, higher homeowner conversion — before anything further is asked. PlanitBER is developed and maintained at our own cost, and recognition alone requires no expenditure by SEAI.</w:t>
      </w:r>
    </w:p>
    <w:p>
      <w:pPr>
        <w:spacing w:after="120"/>
      </w:pPr>
      <w:r>
        <w:t>What we are seeking, though, is not a customer but a partner. The retrofit sector needs a cost standard it can trust, and a tool the industry trusts is one SEAI stands over: shared oversight of the method, a trial whose findings belong to the sector rather than to us, and a common document that assessors, contractors, lenders and homeowners all recognise. We would rather build that with SEAI than alongside it.</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