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2332"/>
          <w:sz w:val="56"/>
        </w:rPr>
        <w:t>PlanitBER</w:t>
      </w:r>
    </w:p>
    <w:p>
      <w:pPr>
        <w:spacing w:after="40"/>
      </w:pPr>
      <w:r>
        <w:rPr>
          <w:b/>
          <w:color w:val="E8A020"/>
          <w:sz w:val="28"/>
        </w:rPr>
        <w:t>Value Proposition</w:t>
      </w:r>
    </w:p>
    <w:p>
      <w:pPr>
        <w:spacing w:after="40"/>
      </w:pPr>
      <w:r>
        <w:rPr>
          <w:i/>
          <w:color w:val="475569"/>
          <w:sz w:val="20"/>
        </w:rPr>
        <w:t>An independent, instant Bill of Quantities for Ireland's home retrofit market.</w:t>
      </w:r>
    </w:p>
    <w:p>
      <w:pPr>
        <w:spacing w:after="160"/>
      </w:pPr>
      <w:r>
        <w:rPr>
          <w:b/>
          <w:color w:val="1A2332"/>
          <w:sz w:val="20"/>
        </w:rPr>
        <w:t>Turns a BER certificate into an actionable budget in under two minutes.</w:t>
      </w:r>
    </w:p>
    <w:p>
      <w:pPr>
        <w:spacing w:before="80" w:after="80"/>
        <w:pBdr>
          <w:bottom w:val="single" w:sz="6" w:space="1" w:color="E8A020"/>
        </w:pBdr>
      </w:pPr>
    </w:p>
    <w:p>
      <w:pPr>
        <w:pStyle w:val="Heading1"/>
        <w:jc w:val="left"/>
      </w:pPr>
      <w:r>
        <w:rPr>
          <w:color w:val="1A2332"/>
        </w:rPr>
        <w:t>The Problem</w:t>
      </w:r>
    </w:p>
    <w:p>
      <w:pPr>
        <w:spacing w:after="160"/>
      </w:pPr>
      <w:r>
        <w:rPr>
          <w:sz w:val="20"/>
        </w:rPr>
        <w:t xml:space="preserve">Ireland has committed to retrofitting </w:t>
      </w:r>
      <w:r>
        <w:rPr>
          <w:b/>
          <w:color w:val="E8A020"/>
          <w:sz w:val="20"/>
        </w:rPr>
        <w:t>500,000 homes to B2 or better by 2030</w:t>
      </w:r>
      <w:r>
        <w:rPr>
          <w:sz w:val="20"/>
        </w:rPr>
        <w:t>. Current completion rates are well behind target. Three demand-side barriers explain why:</w:t>
      </w:r>
    </w:p>
    <w:p>
      <w:pPr>
        <w:spacing w:before="120" w:after="40"/>
        <w:ind w:left="227"/>
      </w:pPr>
      <w:r>
        <w:rPr>
          <w:b/>
          <w:color w:val="1A2332"/>
          <w:sz w:val="20"/>
        </w:rPr>
        <w:t>1.  Cost uncertainty stops homeowners acting.</w:t>
        <w:br/>
      </w:r>
      <w:r>
        <w:rPr>
          <w:color w:val="475569"/>
          <w:sz w:val="20"/>
        </w:rPr>
        <w:t>A BER assessment recommends measures but provides no budget. Homeowners don't know if an upgrade will cost €8,000 or €80,000. Without a credible number they don't apply for grants, don't approach banks, and don't proceed. SEAI spends heavily on awareness — the conversion from "interested" to "committed" breaks down at the budget question.</w:t>
      </w:r>
    </w:p>
    <w:p>
      <w:pPr>
        <w:spacing w:before="120" w:after="40"/>
        <w:ind w:left="227"/>
      </w:pPr>
      <w:r>
        <w:rPr>
          <w:b/>
          <w:color w:val="1A2332"/>
          <w:sz w:val="20"/>
        </w:rPr>
        <w:t>2.  Grant inflation erodes trust in the scheme.</w:t>
        <w:br/>
      </w:r>
      <w:r>
        <w:rPr>
          <w:color w:val="475569"/>
          <w:sz w:val="20"/>
        </w:rPr>
        <w:t>A widespread perception — well-founded in some cases — that contractors price to the gross figure and pocket the grant, leaving the homeowner no better off. This actively suppresses uptake. Homeowners who feel the grant is a contractor bonus rather than a real saving will not participate.</w:t>
      </w:r>
    </w:p>
    <w:p>
      <w:pPr>
        <w:spacing w:before="120" w:after="40"/>
        <w:ind w:left="227"/>
      </w:pPr>
      <w:r>
        <w:rPr>
          <w:b/>
          <w:color w:val="1A2332"/>
          <w:sz w:val="20"/>
        </w:rPr>
        <w:t>3.  No bridge between assessment and action.</w:t>
        <w:br/>
      </w:r>
      <w:r>
        <w:rPr>
          <w:color w:val="475569"/>
          <w:sz w:val="20"/>
        </w:rPr>
        <w:t>A BER assessor visits, rates the home, recommends measures, and leaves. There is no fast, credible way to turn that recommendation into a project budget during or immediately after the visit. The window where a homeowner is most motivated to act closes before they have the information they need.</w:t>
      </w:r>
    </w:p>
    <w:p>
      <w:pPr>
        <w:spacing w:before="80" w:after="80"/>
        <w:pBdr>
          <w:bottom w:val="single" w:sz="6" w:space="1" w:color="E8A020"/>
        </w:pBdr>
      </w:pPr>
    </w:p>
    <w:p>
      <w:pPr>
        <w:pStyle w:val="Heading1"/>
        <w:jc w:val="left"/>
      </w:pPr>
      <w:r>
        <w:rPr>
          <w:color w:val="1A2332"/>
        </w:rPr>
        <w:t>How PlanitBER Solves This</w:t>
      </w:r>
    </w:p>
    <w:p>
      <w:pPr>
        <w:spacing w:after="160"/>
      </w:pPr>
      <w:r>
        <w:rPr>
          <w:sz w:val="20"/>
        </w:rPr>
        <w:t xml:space="preserve">PlanitBER generates an itemised, independent Bill of Quantities from DEAP survey geometry and a works selector. It is </w:t>
      </w:r>
      <w:r>
        <w:rPr>
          <w:b/>
          <w:sz w:val="20"/>
        </w:rPr>
        <w:t>not prepared by the contractor</w:t>
      </w:r>
      <w:r>
        <w:rPr>
          <w:sz w:val="20"/>
        </w:rPr>
        <w:t xml:space="preserve"> — it is derived from the same data the BER assessor already holds.</w:t>
      </w:r>
    </w:p>
    <w:p>
      <w:pPr>
        <w:spacing w:before="100" w:after="40"/>
        <w:ind w:left="227"/>
      </w:pPr>
      <w:r>
        <w:rPr>
          <w:b/>
          <w:color w:val="059669"/>
          <w:sz w:val="20"/>
        </w:rPr>
        <w:t>Solves problem 1 — cost certainty:</w:t>
        <w:br/>
      </w:r>
      <w:r>
        <w:rPr>
          <w:color w:val="475569"/>
          <w:sz w:val="20"/>
        </w:rPr>
        <w:t>Instant indicative budget, section by section, with county-adjusted labour rates and current Irish material prices. Homeowner leaves the assessment knowing what the upgrade will cost.</w:t>
      </w:r>
    </w:p>
    <w:p>
      <w:pPr>
        <w:spacing w:before="100" w:after="40"/>
        <w:ind w:left="227"/>
      </w:pPr>
      <w:r>
        <w:rPr>
          <w:b/>
          <w:color w:val="059669"/>
          <w:sz w:val="20"/>
        </w:rPr>
        <w:t>Solves problem 2 — grant trust:</w:t>
        <w:br/>
      </w:r>
      <w:r>
        <w:rPr>
          <w:color w:val="475569"/>
          <w:sz w:val="20"/>
        </w:rPr>
        <w:t>The BOQ shows gross costs independently of any contractor. Grants are shown line by line. The document states explicitly: "Contractors should quote on the gross costs above — SEAI grants should reduce your invoice, not justify inflated pricing." A homeowner who has an independent BOQ before engaging a contractor is in a fundamentally stronger position.</w:t>
      </w:r>
    </w:p>
    <w:p>
      <w:pPr>
        <w:spacing w:before="100" w:after="40"/>
        <w:ind w:left="227"/>
      </w:pPr>
      <w:r>
        <w:rPr>
          <w:b/>
          <w:color w:val="059669"/>
          <w:sz w:val="20"/>
        </w:rPr>
        <w:t>Solves problem 3 — assessment to action:</w:t>
        <w:br/>
      </w:r>
      <w:r>
        <w:rPr>
          <w:color w:val="475569"/>
          <w:sz w:val="20"/>
        </w:rPr>
        <w:t>A BER assessor can generate a complete cost plan during the assessment visit and hand it to the homeowner alongside the BER certificate. The gap between recommendation and budget closes to zero.</w:t>
      </w:r>
    </w:p>
    <w:p>
      <w:pPr>
        <w:spacing w:before="80" w:after="80"/>
        <w:pBdr>
          <w:bottom w:val="single" w:sz="6" w:space="1" w:color="E8A020"/>
        </w:pBdr>
      </w:pPr>
    </w:p>
    <w:p>
      <w:pPr>
        <w:pStyle w:val="Heading1"/>
        <w:jc w:val="left"/>
      </w:pPr>
      <w:r>
        <w:rPr>
          <w:color w:val="1A2332"/>
        </w:rPr>
        <w:t>What It Produces</w:t>
      </w:r>
    </w:p>
    <w:p>
      <w:pPr>
        <w:pStyle w:val="ListBullet"/>
        <w:spacing w:after="60"/>
      </w:pPr>
      <w:r>
        <w:rPr>
          <w:b/>
          <w:sz w:val="20"/>
        </w:rPr>
        <w:t>Itemised BOQ</w:t>
      </w:r>
      <w:r>
        <w:rPr>
          <w:sz w:val="20"/>
        </w:rPr>
        <w:t xml:space="preserve"> — material rates, labour (county-adjusted), VAT · SCSI Cost Plan format</w:t>
      </w:r>
    </w:p>
    <w:p>
      <w:pPr>
        <w:pStyle w:val="ListBullet"/>
        <w:spacing w:after="60"/>
      </w:pPr>
      <w:r>
        <w:rPr>
          <w:b/>
          <w:sz w:val="20"/>
        </w:rPr>
        <w:t>Per-measure SEAI grant breakdown</w:t>
      </w:r>
      <w:r>
        <w:rPr>
          <w:sz w:val="20"/>
        </w:rPr>
        <w:t xml:space="preserve"> — Better Energy Homes or One Stop Shop</w:t>
      </w:r>
    </w:p>
    <w:p>
      <w:pPr>
        <w:pStyle w:val="ListBullet"/>
        <w:spacing w:after="60"/>
      </w:pPr>
      <w:r>
        <w:rPr>
          <w:b/>
          <w:sz w:val="20"/>
        </w:rPr>
        <w:t>Net cost to homeowner</w:t>
      </w:r>
      <w:r>
        <w:rPr>
          <w:sz w:val="20"/>
        </w:rPr>
        <w:t xml:space="preserve"> after grants</w:t>
      </w:r>
    </w:p>
    <w:p>
      <w:pPr>
        <w:pStyle w:val="ListBullet"/>
        <w:spacing w:after="60"/>
      </w:pPr>
      <w:r>
        <w:rPr>
          <w:b/>
          <w:sz w:val="20"/>
        </w:rPr>
        <w:t>Annual energy saving estimate</w:t>
      </w:r>
      <w:r>
        <w:rPr>
          <w:sz w:val="20"/>
        </w:rPr>
        <w:t xml:space="preserve"> and payback years (from BER improvement)</w:t>
      </w:r>
    </w:p>
    <w:p>
      <w:pPr>
        <w:pStyle w:val="ListBullet"/>
        <w:spacing w:after="60"/>
      </w:pPr>
      <w:r>
        <w:rPr>
          <w:b/>
          <w:sz w:val="20"/>
        </w:rPr>
        <w:t>Green loan monthly repayment guide</w:t>
      </w:r>
    </w:p>
    <w:p>
      <w:pPr>
        <w:pStyle w:val="ListBullet"/>
        <w:spacing w:after="60"/>
      </w:pPr>
      <w:r>
        <w:rPr>
          <w:b/>
          <w:sz w:val="20"/>
        </w:rPr>
        <w:t>Contractors needed</w:t>
      </w:r>
      <w:r>
        <w:rPr>
          <w:sz w:val="20"/>
        </w:rPr>
        <w:t xml:space="preserve"> with SEAI registration requirements per trade</w:t>
      </w:r>
    </w:p>
    <w:p>
      <w:pPr>
        <w:pStyle w:val="ListBullet"/>
        <w:spacing w:after="60"/>
      </w:pPr>
      <w:r>
        <w:rPr>
          <w:b/>
          <w:sz w:val="20"/>
        </w:rPr>
        <w:t>Printable PDF</w:t>
      </w:r>
      <w:r>
        <w:rPr>
          <w:sz w:val="20"/>
        </w:rPr>
        <w:t xml:space="preserve"> suitable for bank and grant applications</w:t>
      </w:r>
    </w:p>
    <w:p>
      <w:pPr>
        <w:pStyle w:val="ListBullet"/>
        <w:spacing w:after="60"/>
      </w:pPr>
      <w:r>
        <w:rPr>
          <w:b/>
          <w:sz w:val="20"/>
        </w:rPr>
        <w:t>Actual vs. estimated tracker</w:t>
      </w:r>
      <w:r>
        <w:rPr>
          <w:sz w:val="20"/>
        </w:rPr>
        <w:t xml:space="preserve"> — Quoted and Actual columns as works progress</w:t>
      </w:r>
    </w:p>
    <w:p/>
    <w:p>
      <w:pPr>
        <w:pStyle w:val="Heading1"/>
        <w:jc w:val="left"/>
      </w:pPr>
      <w:r>
        <w:rPr>
          <w:color w:val="1A2332"/>
        </w:rPr>
        <w:t>Who Uses 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A2332"/>
          </w:tcPr>
          <w:p>
            <w:r>
              <w:rPr>
                <w:b/>
                <w:color w:val="FFFFFF"/>
                <w:sz w:val="18"/>
              </w:rPr>
              <w:t>User</w:t>
            </w:r>
          </w:p>
        </w:tc>
        <w:tc>
          <w:tcPr>
            <w:tcW w:type="dxa" w:w="6520"/>
            <w:shd w:val="clear" w:color="auto" w:fill="1A2332"/>
          </w:tcPr>
          <w:p>
            <w:r>
              <w:rPr>
                <w:b/>
                <w:color w:val="FFFFFF"/>
                <w:sz w:val="18"/>
              </w:rPr>
              <w:t>How They Use It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b/>
                <w:color w:val="1A2332"/>
                <w:sz w:val="18"/>
              </w:rPr>
              <w:t>Homeowners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sz w:val="18"/>
              </w:rPr>
              <w:t>Understand costs before engaging contractors. Compare quotes against an independent estimate. Track budget during works.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A2332"/>
                <w:sz w:val="18"/>
              </w:rPr>
              <w:t>BER Assessors</w:t>
            </w:r>
          </w:p>
        </w:tc>
        <w:tc>
          <w:tcPr>
            <w:tcW w:type="dxa" w:w="6520"/>
          </w:tcPr>
          <w:p>
            <w:r>
              <w:rPr>
                <w:sz w:val="18"/>
              </w:rPr>
              <w:t>Generate instant indicative costs during assessment visits. Turn a certificate into a complete budget conversation.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b/>
                <w:color w:val="1A2332"/>
                <w:sz w:val="18"/>
              </w:rPr>
              <w:t>Banks &amp; Credit Unions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sz w:val="18"/>
              </w:rPr>
              <w:t>Credible cost document for green loan and mortgage applications. Independent of the contractor.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A2332"/>
                <w:sz w:val="18"/>
              </w:rPr>
              <w:t>One Stop Shops</w:t>
            </w:r>
          </w:p>
        </w:tc>
        <w:tc>
          <w:tcPr>
            <w:tcW w:type="dxa" w:w="6520"/>
          </w:tcPr>
          <w:p>
            <w:r>
              <w:rPr>
                <w:sz w:val="18"/>
              </w:rPr>
              <w:t>Quick feasibility cost before committing to a full survey. Pre-qualify projects efficiently.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b/>
                <w:color w:val="1A2332"/>
                <w:sz w:val="18"/>
              </w:rPr>
              <w:t>Contractors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sz w:val="18"/>
              </w:rPr>
              <w:t>Structured scope-of-works document to quote from. Published rate basis for benchmarking.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A2332"/>
                <w:sz w:val="18"/>
              </w:rPr>
              <w:t>Local Authorities &amp; AHBs</w:t>
            </w:r>
          </w:p>
        </w:tc>
        <w:tc>
          <w:tcPr>
            <w:tcW w:type="dxa" w:w="6520"/>
          </w:tcPr>
          <w:p>
            <w:r>
              <w:rPr>
                <w:sz w:val="18"/>
              </w:rPr>
              <w:t>Rapid bulk estimation for estate retrofit programmes. Budget forecasting before tendering.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b/>
                <w:color w:val="1A2332"/>
                <w:sz w:val="18"/>
              </w:rPr>
              <w:t>SEAI</w:t>
            </w:r>
          </w:p>
        </w:tc>
        <w:tc>
          <w:tcPr>
            <w:tcW w:type="dxa" w:w="6520"/>
            <w:shd w:val="clear" w:color="auto" w:fill="F8FAFC"/>
          </w:tcPr>
          <w:p>
            <w:r>
              <w:rPr>
                <w:sz w:val="18"/>
              </w:rPr>
              <w:t>Real-market cost data to calibrate grant rates. Understand project costs across the programme.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1A2332"/>
                <w:sz w:val="18"/>
              </w:rPr>
              <w:t>Estate Agents &amp; Solicitors</w:t>
            </w:r>
          </w:p>
        </w:tc>
        <w:tc>
          <w:tcPr>
            <w:tcW w:type="dxa" w:w="6520"/>
          </w:tcPr>
          <w:p>
            <w:r>
              <w:rPr>
                <w:sz w:val="18"/>
              </w:rPr>
              <w:t>Show upgrade costs on property listings. Retrofit cost disclosure in transactions.</w:t>
            </w:r>
          </w:p>
        </w:tc>
      </w:tr>
    </w:tbl>
    <w:p/>
    <w:p>
      <w:pPr>
        <w:spacing w:before="80" w:after="80"/>
        <w:pBdr>
          <w:bottom w:val="single" w:sz="6" w:space="1" w:color="E8A020"/>
        </w:pBdr>
      </w:pPr>
    </w:p>
    <w:p>
      <w:pPr>
        <w:pStyle w:val="Heading1"/>
        <w:jc w:val="left"/>
      </w:pPr>
      <w:r>
        <w:rPr>
          <w:color w:val="1A2332"/>
        </w:rPr>
        <w:t>Why It Is Different</w:t>
      </w:r>
    </w:p>
    <w:p>
      <w:pPr>
        <w:spacing w:after="160"/>
      </w:pPr>
      <w:r>
        <w:rPr>
          <w:color w:val="475569"/>
          <w:sz w:val="20"/>
        </w:rPr>
        <w:t>This is not a contractor quote. It is not a generic online estimator. It is an independent, geometry-driven cost plan aligned to DEAP measures, SEAI grant structure, and current Irish market rates — produced in the same format a quantity surveyor would use.</w:t>
      </w:r>
    </w:p>
    <w:p>
      <w:pPr>
        <w:spacing w:after="80"/>
      </w:pPr>
      <w:r>
        <w:rPr>
          <w:b/>
          <w:color w:val="1A2332"/>
          <w:sz w:val="18"/>
        </w:rPr>
        <w:t xml:space="preserve">Data sources: </w:t>
      </w:r>
      <w:r>
        <w:rPr>
          <w:color w:val="475569"/>
          <w:sz w:val="18"/>
        </w:rPr>
        <w:t>SEO National Wage Agreement 2024  ·  SCSI Regional Cost Supplement Aug 2025  ·  SEAI grant rates effective Feb/Mar 2026  ·  Irish merchant pricing Q1–Q2 2026</w:t>
      </w:r>
    </w:p>
    <w:p>
      <w:pPr>
        <w:spacing w:before="80" w:after="80"/>
        <w:pBdr>
          <w:bottom w:val="single" w:sz="6" w:space="1" w:color="E8A020"/>
        </w:pBdr>
      </w:pPr>
    </w:p>
    <w:p>
      <w:pPr>
        <w:jc w:val="center"/>
      </w:pPr>
      <w:r>
        <w:rPr>
          <w:i/>
          <w:color w:val="94A3B8"/>
          <w:sz w:val="16"/>
        </w:rPr>
        <w:t>PlanitBER V1  ·  Turley Energy Consultants  ·  Indicative accuracy ±15–20%  ·  Not a substitute for a formal QS report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