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DOCUMENTO INTERNO · Resumen para el Consejo · Marzo 2026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Lumina Visión · Resumen de resultados 2025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Principales magnitudes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c>
          <w:tcPr>
            <w:tcW w:type="dxa" w:w="3600"/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1800"/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2024</w:t>
            </w:r>
          </w:p>
        </w:tc>
        <w:tc>
          <w:tcPr>
            <w:tcW w:type="dxa" w:w="1800"/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2025</w:t>
            </w:r>
          </w:p>
        </w:tc>
        <w:tc>
          <w:tcPr>
            <w:tcW w:type="dxa" w:w="1800"/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Variación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Facturación total (M€)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303,6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310,0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+2,1 %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Margen EBITDA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11,8 %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10,4 %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−1,4 p.p.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Puntos de venta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412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+9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Ventas online lentes de contacto (% del total)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4,4 %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6,0 %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+38 % en valor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−9 puntos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Valoración media en reseñas online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4,3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3,9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−0,4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Reclamaciones formales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1.940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2.870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+48 %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Inversión en marketing (M€)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9,6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+5,5 %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Lectura de los resultados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Crecimiento plano y margen bajo presión.</w:t>
      </w:r>
      <w:r>
        <w:rPr>
          <w:rFonts w:ascii="Arial" w:cs="Arial" w:eastAsia="Arial" w:hAnsi="Arial"/>
          <w:sz w:val="22"/>
          <w:szCs w:val="22"/>
        </w:rPr>
        <w:t xml:space="preserve"> Las ventas crecen por aperturas, no por tienda comparable (−0,6 %). El margen cae por la intensidad promocional para competir con cadenas low-cost.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canal online crece, pero aún es pequeño.</w:t>
      </w:r>
      <w:r>
        <w:rPr>
          <w:rFonts w:ascii="Arial" w:cs="Arial" w:eastAsia="Arial" w:hAnsi="Arial"/>
          <w:sz w:val="22"/>
          <w:szCs w:val="22"/>
        </w:rPr>
        <w:t xml:space="preserve"> La venta online de lentes de contacto sube un 38 %. La mayoría de compradores online no repite en tienda.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Deterioro de la experiencia de cliente.</w:t>
      </w:r>
      <w:r>
        <w:rPr>
          <w:rFonts w:ascii="Arial" w:cs="Arial" w:eastAsia="Arial" w:hAnsi="Arial"/>
          <w:sz w:val="22"/>
          <w:szCs w:val="22"/>
        </w:rPr>
        <w:t xml:space="preserve"> El NPS cae 9 puntos. Los motivos principales en encuestas y reseñas son: tiempos de espera en graduación (41 %), gestión de garantías (27 %) y diferencias de trato entre tiendas (18 %).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Reclamaciones.</w:t>
      </w:r>
      <w:r>
        <w:rPr>
          <w:rFonts w:ascii="Arial" w:cs="Arial" w:eastAsia="Arial" w:hAnsi="Arial"/>
          <w:sz w:val="22"/>
          <w:szCs w:val="22"/>
        </w:rPr>
        <w:t xml:space="preserve"> Las reclamaciones formales suben un 48 %. En la Comunidad Valenciana, una asociación de consumidores ha anunciado una reclamación colectiva por la aplicación de las garantías de monturas. Ha tenido eco en prensa regional.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Red de franquiciados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Los franquiciados aportan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60 % de la inversión en marketing</w:t>
      </w:r>
      <w:r>
        <w:rPr>
          <w:rFonts w:ascii="Arial" w:cs="Arial" w:eastAsia="Arial" w:hAnsi="Arial"/>
          <w:sz w:val="22"/>
          <w:szCs w:val="22"/>
        </w:rPr>
        <w:t xml:space="preserve"> a través del fondo común.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En el comité de diciembre,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Asociación de Franquiciados</w:t>
      </w:r>
      <w:r>
        <w:rPr>
          <w:rFonts w:ascii="Arial" w:cs="Arial" w:eastAsia="Arial" w:hAnsi="Arial"/>
          <w:sz w:val="22"/>
          <w:szCs w:val="22"/>
        </w:rPr>
        <w:t xml:space="preserve"> (presidente: Ramón Ibarra) presentó una queja formal: considera que la inversión se concentra en campañas de marca nacional que no generan tráfico a sus tiendas.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Cualquier cambio en el reparto del fondo o en los estándares de tienda requiere votación en la asamblea de franquiciados (mayoría de dos tercios).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Prioridades 2026–2027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Lanzar el servicio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audiología en 150 tiendas en 2027</w:t>
      </w:r>
      <w:r>
        <w:rPr>
          <w:rFonts w:ascii="Arial" w:cs="Arial" w:eastAsia="Arial" w:hAnsi="Arial"/>
          <w:sz w:val="22"/>
          <w:szCs w:val="22"/>
        </w:rPr>
        <w:t xml:space="preserve"> (piloto en 20 tiendas en el primer semestre).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Recuperar el NPS por encima de 45 a final de 2027.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Revisar el modelo de relación con franquiciados y el reparto del fondo de marketing.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Contener el gasto estructural: objetivo de ahorro del 4 % en costes no productivos en 2026.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Caso ficticio con fines formativos (MGA · LLYC). Empresa, personas y datos inventados.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2026-10-05T06:41:54.658Z</dcterms:created>
  <dcterms:modified xsi:type="dcterms:W3CDTF">2026-10-05T06:41:54.658Z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