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STATER_FIN · MANUAL MAESTRO DE ARQUITECTURA FINANCIERA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00. ÍNDICE Y ARQUITECTURA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Ecosistema Financiero, Contable, Fiscal y de Financiación Pública para Startups Tecnológicas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Misión, Alcance y Principios de STATER_FIN</w:t>
      </w:r>
    </w:p>
    <w:p>
      <w:pPr>
        <w:spacing w:after="80"/>
      </w:pPr>
      <w:r>
        <w:rPr>
          <w:rFonts w:ascii="Calibri" w:hAnsi="Calibri"/>
          <w:sz w:val="20"/>
        </w:rPr>
        <w:t>STATER_FIN constituye el pilar económico, contable, fiscal y de tesorería del ecosistema STATER / ARGOS / LUMINIC / INTRINSIC VALUE.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Propósito Central: </w:t>
      </w:r>
      <w:r>
        <w:rPr>
          <w:rFonts w:ascii="Calibri" w:hAnsi="Calibri"/>
          <w:sz w:val="20"/>
        </w:rPr>
        <w:t>Garantizar la soberanía financiera, el cumplimiento normativo estricto bajo el Plan General de Contabilidad (PGC Pymes) y el calendario de la AEAT, la optimización de tesorería y la trazabilidad documental ante subvenciones públicas (LEADER, INFO, ENISA).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Modelo Operativo Unipersonal: </w:t>
      </w:r>
      <w:r>
        <w:rPr>
          <w:rFonts w:ascii="Calibri" w:hAnsi="Calibri"/>
          <w:sz w:val="20"/>
        </w:rPr>
        <w:t>Diseñado específicamente para ser pilotado directamente por el fundador (perfil graduado en ADE y Máster en Auditoría de Cuentas) con mínimo tiempo de gestión y máxima precisión, reservando la asesoría externa exclusivamente a una auditoría/revisión anual.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Mapa de Conexión con Otros Módulos del Ecosistema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 Origen / Destino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 de Información Conectada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Protocolo de No Duplicidad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STATER_IT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Catálogo de productos (PROD-01 a 13) y horas/costes de I+D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STATER_IT define las specs técnicas; STATER_FIN asigna precios, costes de servidor y amortización de intangibles.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STATER_MK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Mapa de clientes B2B, pipeline de ventas y contratos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STATER_MK gestiona el embudo comercial; STATER_FIN ejecuta la facturación, cobros, morosidad y fiscalidad de IVA.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STATER_LEGAL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Constitución societaria (SL), estatutos y contratos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STATER_LEGAL custodia los contratos mercantiles; STATER_FIN contabiliza los pagos y retenciones aplicables.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STATER_GOB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Roadmap temporal de fases (Fase 0 a 5) e hitos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STATER_GOB marca las metas estratégicas; STATER_FIN ejecuta el Rolling Forecast y control de desviaciones.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Estructura y Organización de Carpetas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01_CONTABILIDAD: </w:t>
      </w:r>
      <w:r>
        <w:rPr>
          <w:rFonts w:ascii="Calibri" w:hAnsi="Calibri"/>
          <w:sz w:val="20"/>
        </w:rPr>
        <w:t>Libro diario, gastos pre-constitución, cuadro de cuentas PGC, cierres anuales, cuentas anuales y amortizaciones.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02_FISCALIDAD: </w:t>
      </w:r>
      <w:r>
        <w:rPr>
          <w:rFonts w:ascii="Calibri" w:hAnsi="Calibri"/>
          <w:sz w:val="20"/>
        </w:rPr>
        <w:t>Calendario perpetuo, modelos trimestrales (303, 111, 115), anuales (390, 190, 200), ROI/VIES y Ventanilla Única OSS.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03_PRESUPUESTOS_Y_PROYECCIONES: </w:t>
      </w:r>
      <w:r>
        <w:rPr>
          <w:rFonts w:ascii="Calibri" w:hAnsi="Calibri"/>
          <w:sz w:val="20"/>
        </w:rPr>
        <w:t>Presupuesto vivo correlacionado (Consolidado + 3 Líneas), presupuesto de inversión subvencionable 3.1.1 y Rolling Forecast.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04_FACTURACION_Y_COBROS: </w:t>
      </w:r>
      <w:r>
        <w:rPr>
          <w:rFonts w:ascii="Calibri" w:hAnsi="Calibri"/>
          <w:sz w:val="20"/>
        </w:rPr>
        <w:t>Guía estructurada B2B (PDF firmado digitalmente), Stripe Billing Retail, descuentos pronto pago (8% / 4%) y archivo de proveedores.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05_SUBVENCIONES_Y_FINANCIACION_PUBLICA: </w:t>
      </w:r>
      <w:r>
        <w:rPr>
          <w:rFonts w:ascii="Calibri" w:hAnsi="Calibri"/>
          <w:sz w:val="20"/>
        </w:rPr>
        <w:t>Dossier LEADER Altiplano Yecla, programas INFO, línea ENISA para expansión internacional y checklist de justificación.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06_TESORERIA_Y_CONTROL_DE_CAJA: </w:t>
      </w:r>
      <w:r>
        <w:rPr>
          <w:rFonts w:ascii="Calibri" w:hAnsi="Calibri"/>
          <w:sz w:val="20"/>
        </w:rPr>
        <w:t>Protocolo dual Santander / Trade Republic, modelo de Runway/Burn Rate, reserva mínima (6.000€) y Cap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