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GUÍA TÉCNICA Y LIBRO REGISTRO DE GASTOS PRE-CONSTITUCIÓN (FASE 0)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01. CONTABILIDAD · 00. GASTOS PRE-CONSTITUCIÓN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Protocolo de Registro, Custodia Documental y Posterior Aportación / Compensación en la SL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Marco Legal y Fiscal de los Gastos Previos</w:t>
      </w:r>
    </w:p>
    <w:p>
      <w:pPr>
        <w:spacing w:after="80"/>
      </w:pPr>
      <w:r>
        <w:rPr>
          <w:rFonts w:ascii="Calibri" w:hAnsi="Calibri"/>
          <w:sz w:val="20"/>
        </w:rPr>
        <w:t>Durante la Fase 0 (9-12 meses de backstage pre-empresa), el fundador asume como persona física los costes de I+D, dominios, servidores y registros.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Requisito de Trazabilidad: </w:t>
      </w:r>
      <w:r>
        <w:rPr>
          <w:rFonts w:ascii="Calibri" w:hAnsi="Calibri"/>
          <w:sz w:val="20"/>
        </w:rPr>
        <w:t>Todas las facturas y tickets deben emitirse con el Nombre Completo, DNI y domicilio del fundador.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Método de Pago Exclusivo: </w:t>
      </w:r>
      <w:r>
        <w:rPr>
          <w:rFonts w:ascii="Calibri" w:hAnsi="Calibri"/>
          <w:sz w:val="20"/>
        </w:rPr>
        <w:t>Los pagos deben abonarse estrictamente a través de la cuenta bancaria dedicada de Trade Republic para evitar confusión con gastos personales.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Tratamiento en la Futura SL: </w:t>
      </w:r>
      <w:r>
        <w:rPr>
          <w:rFonts w:ascii="Calibri" w:hAnsi="Calibri"/>
          <w:sz w:val="20"/>
        </w:rPr>
        <w:t>Al constituir la SL, estos gastos podrán: 1) Aportarse como gastos de constitución/primer establecimiento, 2) Reconocerse como crédito del socio frente a la sociedad (Cuenta 551), o 3) Activarse como Inmovilizado Intangible (I+D) si cumplen los criterios del PGC.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Plantilla del Libro Registro de Gastos Pre-Constitución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Nº Reg</w:t>
            </w:r>
          </w:p>
        </w:tc>
        <w:tc>
          <w:tcPr>
            <w:tcW w:type="dxa" w:w="117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117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Proveedor</w:t>
            </w:r>
          </w:p>
        </w:tc>
        <w:tc>
          <w:tcPr>
            <w:tcW w:type="dxa" w:w="117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Concepto / Detalle</w:t>
            </w:r>
          </w:p>
        </w:tc>
        <w:tc>
          <w:tcPr>
            <w:tcW w:type="dxa" w:w="117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Base (€)</w:t>
            </w:r>
          </w:p>
        </w:tc>
        <w:tc>
          <w:tcPr>
            <w:tcW w:type="dxa" w:w="117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IVA (€)</w:t>
            </w:r>
          </w:p>
        </w:tc>
        <w:tc>
          <w:tcPr>
            <w:tcW w:type="dxa" w:w="117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Total (€)</w:t>
            </w:r>
          </w:p>
        </w:tc>
        <w:tc>
          <w:tcPr>
            <w:tcW w:type="dxa" w:w="117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Destino PGC / Activación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001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DD/MM/AAAA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Hetzner / AWS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Servidores Cloud Ingesta ESEF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0,00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0,00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0,00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Cuenta 628 / Activo I+D</w:t>
            </w:r>
          </w:p>
        </w:tc>
      </w:tr>
      <w:tr>
        <w:tc>
          <w:tcPr>
            <w:tcW w:type="dxa" w:w="117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002</w:t>
            </w:r>
          </w:p>
        </w:tc>
        <w:tc>
          <w:tcPr>
            <w:tcW w:type="dxa" w:w="117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DD/MM/AAAA</w:t>
            </w:r>
          </w:p>
        </w:tc>
        <w:tc>
          <w:tcPr>
            <w:tcW w:type="dxa" w:w="117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OpenAI / Claude</w:t>
            </w:r>
          </w:p>
        </w:tc>
        <w:tc>
          <w:tcPr>
            <w:tcW w:type="dxa" w:w="117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APIs para Motor NLP KAM ISA 701</w:t>
            </w:r>
          </w:p>
        </w:tc>
        <w:tc>
          <w:tcPr>
            <w:tcW w:type="dxa" w:w="117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0,00</w:t>
            </w:r>
          </w:p>
        </w:tc>
        <w:tc>
          <w:tcPr>
            <w:tcW w:type="dxa" w:w="117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0,00</w:t>
            </w:r>
          </w:p>
        </w:tc>
        <w:tc>
          <w:tcPr>
            <w:tcW w:type="dxa" w:w="117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0,00</w:t>
            </w:r>
          </w:p>
        </w:tc>
        <w:tc>
          <w:tcPr>
            <w:tcW w:type="dxa" w:w="117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Cuenta 629 / Activo I+D</w:t>
            </w:r>
          </w:p>
        </w:tc>
      </w:tr>
      <w:tr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003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DD/MM/AAAA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OEPM / Registro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Registro de Marcas STATER / ARGOS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0,00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0,00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0,00</w:t>
            </w:r>
          </w:p>
        </w:tc>
        <w:tc>
          <w:tcPr>
            <w:tcW w:type="dxa" w:w="117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Cuenta 203 Propiedad Industrial</w:t>
            </w:r>
          </w:p>
        </w:tc>
      </w:tr>
      <w:tr>
        <w:tc>
          <w:tcPr>
            <w:tcW w:type="dxa" w:w="117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004</w:t>
            </w:r>
          </w:p>
        </w:tc>
        <w:tc>
          <w:tcPr>
            <w:tcW w:type="dxa" w:w="117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DD/MM/AAAA</w:t>
            </w:r>
          </w:p>
        </w:tc>
        <w:tc>
          <w:tcPr>
            <w:tcW w:type="dxa" w:w="117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Nombre Proveedor</w:t>
            </w:r>
          </w:p>
        </w:tc>
        <w:tc>
          <w:tcPr>
            <w:tcW w:type="dxa" w:w="117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Material y Software Campus Desktop</w:t>
            </w:r>
          </w:p>
        </w:tc>
        <w:tc>
          <w:tcPr>
            <w:tcW w:type="dxa" w:w="117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0,00</w:t>
            </w:r>
          </w:p>
        </w:tc>
        <w:tc>
          <w:tcPr>
            <w:tcW w:type="dxa" w:w="117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0,00</w:t>
            </w:r>
          </w:p>
        </w:tc>
        <w:tc>
          <w:tcPr>
            <w:tcW w:type="dxa" w:w="117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0,00</w:t>
            </w:r>
          </w:p>
        </w:tc>
        <w:tc>
          <w:tcPr>
            <w:tcW w:type="dxa" w:w="117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Cuenta 206 / Gastos I+D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