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CUADRO DE CUENTAS PGC PYMES Y GUÍA DE ASIENTOS TIPO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CONTABILIDAD · 01. PLAN CONTABLE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 Contable Oficial Adaptada a Startups Tecnológicas, SaaS y Formación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Cuadro de Cuentas Específico para STATER SL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Código PGC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 la Cuenta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 Específico en STATER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200 / 201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Investigación y Desarrollo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Activación de costes de desarrollo de motores informáticos (MOD_IT_01 a 07).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203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Propiedad Industrial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Registro de marcas STATER, ARGOS, LUMINIC, INTRINSIC VALUE en la OEPM/EUIPO.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Aplicaciones Informáticas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Licencias de software y plataformas base adquiridas.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217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Equipos para Procesos de Información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Servidores físicos, ordenadores y estaciones de trabajo de alta gama.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4300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Clientes B2B España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Cuentas a cobrar por licencias institucionales nacionales.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4301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Clientes B2B Intracomunitarios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Gestoras y Family Offices de Francia, Alemania, Italia, Holanda.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4302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Clientes Retail Pasarela (Stripe)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intermedia de cobros pendientes de transferir por Stripe.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551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Corriente con Socios y Administradores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Aportaciones de fondos del fundador para sostener la tesorería inicial.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5720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Banco Santander (Operativa Principal)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bancaria tradicional para pagos oficiales, nóminas y subvenciones.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5721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Trade Republic (Reserva de Seguridad)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de tesorería de alta remuneración para reserva mínima.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Prestación de Servicios - ARGOS API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Ingresos por licencias y feeds DaaS institucionales.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7051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Prestación de Servicios - STATER Pro Retail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Ingresos por suscripciones mensuales/anuales de 9,99€.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7052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Prestación de Servicios - INTRINSIC 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Ingresos por informes de valoración certificados con SHA-256.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7053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Prestación de Servicios - Formación LUMINIC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Ingresos por cursos formativos y simulador EFPA/CFA.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Asientos Contables Tipo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Asiento de Constitución de SL (3.000€): </w:t>
      </w:r>
      <w:r>
        <w:rPr>
          <w:rFonts w:ascii="Calibri" w:hAnsi="Calibri"/>
          <w:sz w:val="20"/>
        </w:rPr>
        <w:t>(5720) Banco Santander a (100) Capital Social.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Venta B2C Retail vía Stripe (9,99€ con IVA 21%): </w:t>
      </w:r>
      <w:r>
        <w:rPr>
          <w:rFonts w:ascii="Calibri" w:hAnsi="Calibri"/>
          <w:sz w:val="20"/>
        </w:rPr>
        <w:t>(4302) Stripe 9,99€ a (7051) Ingresos 8,26€ + (477) IVA Repercutido 1,73€.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Venta B2B Intracomunitaria (Inversión Sujeto Pasivo): </w:t>
      </w:r>
      <w:r>
        <w:rPr>
          <w:rFonts w:ascii="Calibri" w:hAnsi="Calibri"/>
          <w:sz w:val="20"/>
        </w:rPr>
        <w:t>(4301) Cliente UE 2.500€ a (7050) Ingresos B2B 2.500€ (Sin IVA).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Cobro de Subvención a Fondo Perdido (LEADER / INFO): </w:t>
      </w:r>
      <w:r>
        <w:rPr>
          <w:rFonts w:ascii="Calibri" w:hAnsi="Calibri"/>
          <w:sz w:val="20"/>
        </w:rPr>
        <w:t>(5720) Banco a (740) Subvenciones Oficiales a la Explotación (o 130 si es de Capital).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