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MODELO DE CUENTAS ANUALES PYMES PARA REGISTRO MERCANTIL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CONTABILIDAD · 03. CUENTAS ANUALES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Estructura del Balance de Situación, Cuenta de PyG y Memoria Simplificada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Componentes Obligatorios de las Cuentas Anuales Pymes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1. Balance de Situación Abreviado: </w:t>
      </w:r>
      <w:r>
        <w:rPr>
          <w:rFonts w:ascii="Calibri" w:hAnsi="Calibri"/>
          <w:sz w:val="20"/>
        </w:rPr>
        <w:t>Activo No Corriente (I+D activado, equipos), Activo Corriente (Clientes, Tesorería), Patrimonio Neto y Pasivo.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2. Cuenta de Pérdidas y Ganancias Abreviada: </w:t>
      </w:r>
      <w:r>
        <w:rPr>
          <w:rFonts w:ascii="Calibri" w:hAnsi="Calibri"/>
          <w:sz w:val="20"/>
        </w:rPr>
        <w:t>Importe neto de la cifra de negocios, aprovisionamientos, gastos de personal, otros gastos de explotación y resultado financiero.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3. Memoria Pymes: </w:t>
      </w:r>
      <w:r>
        <w:rPr>
          <w:rFonts w:ascii="Calibri" w:hAnsi="Calibri"/>
          <w:sz w:val="20"/>
        </w:rPr>
        <w:t>Documento explicativo que incluye la actividad de la empresa, bases de presentación, aplicación del resultado y desglose de activos e impuestos.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