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CALENDARIO FISCAL Y MERCANTIL ANUAL PERPETUO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02. FISCALIDAD · 01. CALENDARIO FISCAL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Obligaciones Tributarias Periódicas ante la AEAT y Registro Mercantil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Matriz Temporal de Liquidaciones Periódicas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Periodo / Mes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 Límite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Modelo AEAT / Mercantil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 de la Obligación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Trimestre 1 (1T)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20 de Abril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Modelo 303 (IVA)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Autoliquidación de IVA repercutido y soportado (Enero - Marzo).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Trimestre 1 (1T)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20 de Abril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Modelo 111 (IRPF)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Retenciones de personal y profesionales independientes.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Trimestre 1 (1T)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20 de Abril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Modelo 115 (Alquileres)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Retenciones por arrendamiento de inmuebles urbanos si aplica.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Trimestre 1 (1T)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20 de Abril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Modelo 349 (Intracomunitario)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Declaración recapitulativa de ventas/compras intracomunitarias.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Mercantil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30 de Abril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Legalización de Libros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Presentación telemática del Libro Diario y Balances en Registro Mercantil.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Trimestre 2 (2T)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20 de Julio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Modelos 303, 111, 115, 349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Autoliquidaciones correspondientes al segundo trimestre (Abril - Junio).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Anual IS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25 de Julio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Modelo 200 (Impuesto Sociedades)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Declaración anual del IS del ejercicio anterior (Tipo 15% para empresas nueva creación).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Mercantil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30 de Julio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Depósito Cuentas Anuales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Depósito obligatorio de Balance, PyG y Memoria en el Registro Mercantil.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Trimestre 3 (3T)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20 de Octubre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Modelos 303, 111, 115, 349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Autoliquidaciones correspondientes al tercer trimestre (Julio - Septiembre).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Trimestre 4 (4T)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30 de Enero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Modelo 303 (4T) + Modelo 390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Autoliquidación 4T y Resumen Anual Informativo de IVA.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Resúmenes Anuales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30 de Enero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Modelos 190 y 180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Resúmenes anuales de retenciones IRPF y arrendamientos.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Informativo Anual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28 de Febrero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Modelo 347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Operaciones con terceros superiores a 3.005,06 € anuales.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