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GUÍA DE AUTOLIQUIDACIÓN DE IVA: MODELOS 303 Y 390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FISCALIDAD · 02. MODELOS IVA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Mapeo de Casillas de la AEAT para Ventas Nacionales, Intracomunitarias y Resumen Anual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Mapeo Clave de Casillas en el Modelo 303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Casillas [01] a [03]: </w:t>
      </w:r>
      <w:r>
        <w:rPr>
          <w:rFonts w:ascii="Calibri" w:hAnsi="Calibri"/>
          <w:sz w:val="20"/>
        </w:rPr>
        <w:t>Base imponible y cuota del 21% de ventas retail nacionales (Stripe España).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Casillas [28] a [29]: </w:t>
      </w:r>
      <w:r>
        <w:rPr>
          <w:rFonts w:ascii="Calibri" w:hAnsi="Calibri"/>
          <w:sz w:val="20"/>
        </w:rPr>
        <w:t>Bases y cuotas de IVA soportado deducible en compras corrientes y servicios cloud.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Casillas [30] a [31]: </w:t>
      </w:r>
      <w:r>
        <w:rPr>
          <w:rFonts w:ascii="Calibri" w:hAnsi="Calibri"/>
          <w:sz w:val="20"/>
        </w:rPr>
        <w:t>IVA soportado en adquisición de bienes de inversión (ordenadores, servidores).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Casilla [59]: </w:t>
      </w:r>
      <w:r>
        <w:rPr>
          <w:rFonts w:ascii="Calibri" w:hAnsi="Calibri"/>
          <w:sz w:val="20"/>
        </w:rPr>
        <w:t>Entregas intracomunitarias de servicios (Ventas B2B con inversión de sujeto pasivo a la UE).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Casilla [71]: </w:t>
      </w:r>
      <w:r>
        <w:rPr>
          <w:rFonts w:ascii="Calibri" w:hAnsi="Calibri"/>
          <w:sz w:val="20"/>
        </w:rPr>
        <w:t>Resultado final de la autoliquidación (A ingresar o a compensar).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