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CONTROL Y LIQUIDACIÓN DE RETENCIONES IRPF: MODELOS 111 Y 190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02. FISCALIDAD · 04. RETENCIONES IRPF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Gestión de Retenciones por Servicios Profesionales Independientes y Nóminas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Operativa de Retenciones a Profesionales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Tipo de Retención General: </w:t>
      </w:r>
      <w:r>
        <w:rPr>
          <w:rFonts w:ascii="Calibri" w:hAnsi="Calibri"/>
          <w:sz w:val="20"/>
        </w:rPr>
        <w:t>15% sobre la base imponible de facturas de profesionales independientes (abogados, auditores externos, diseñadores).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Tipo Reducido Nuevos Autónomos: </w:t>
      </w:r>
      <w:r>
        <w:rPr>
          <w:rFonts w:ascii="Calibri" w:hAnsi="Calibri"/>
          <w:sz w:val="20"/>
        </w:rPr>
        <w:t>7% en el año de inicio y los dos siguientes.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Plazo de Ingreso: </w:t>
      </w:r>
      <w:r>
        <w:rPr>
          <w:rFonts w:ascii="Calibri" w:hAnsi="Calibri"/>
          <w:sz w:val="20"/>
        </w:rPr>
        <w:t>Modelo 111 antes del día 20 del mes posterior al cierre del trimestre.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