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PRESUPUESTO VIVO HÍBRIDO CONSOLIDADO Y ANALÍTICO DE 3 LÍNEAS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01. PRESUPUESTO VIVO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Modelo Financiero Correlacionado: Transición Fase 0 (Pre-empresa) a Fase 1 (SL Operativa)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Estructura del Libro Presupuestario Correlacionado</w:t>
      </w:r>
    </w:p>
    <w:p>
      <w:pPr>
        <w:spacing w:after="80"/>
      </w:pPr>
      <w:r>
        <w:rPr>
          <w:rFonts w:ascii="Calibri" w:hAnsi="Calibri"/>
          <w:sz w:val="20"/>
        </w:rPr>
        <w:t>El modelo opera en dos hojas dinámicamente interconectadas: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Hoja 1: STATER CONSOLIDADO: </w:t>
      </w:r>
      <w:r>
        <w:rPr>
          <w:rFonts w:ascii="Calibri" w:hAnsi="Calibri"/>
          <w:sz w:val="20"/>
        </w:rPr>
        <w:t>Refleja la cuenta de explotación total de la sociedad, agregando automáticamente los flujos de todas las marcas.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Hoja 2: DESGLOSE ANALÍTICO 3 LÍNEAS: </w:t>
      </w:r>
      <w:r>
        <w:rPr>
          <w:rFonts w:ascii="Calibri" w:hAnsi="Calibri"/>
          <w:sz w:val="20"/>
        </w:rPr>
        <w:t>Tabla única donde se imputan los ingresos y costes directos clasificados por: 1) ARGOS (B2B Data Engine), 2) INTRINSIC VALUE (Research &amp; Forensics) y 3) LUMINIC FINANCE (Academy &amp; Software).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Escenario Razonable de Operación (Año 1 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Línea de Gasto / Inversión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0 Pre-Empresa (€/año)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1 SL Operativa (€/año)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Imputación Analítica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Servidores Cloud, Ingesta ESEF y Almacenamiento S3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1.200,00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2.400,00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100% ARGOS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APIs de Procesamiento LLM/NLP (KAM ISA 701)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1.800,00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50% ARGOS / 50% INTRINSIC VALUE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Dominio, Certificados SSL y Pasarelas de Pago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Consolidado STATER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Notaría, Registro Mercantil y Asesoría Constitución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850,00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Estructura Societaria SL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Mantenimiento Software Campus Desktop &amp; Simulador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1.200,00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100% LUMINIC FINANCE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Revisión Contable y Auditoría Anual Externa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450,00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Estructura Societaria SL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Gastos de Promoción y Lanzamiento Internacional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2.500,00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Reparto 3 Líneas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Suministros, Software de Gestión y Contingencias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400,00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1.200,00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Consolidado STATER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TOTAL GASTOS DE EXPLOTACIÓN ESTIMADOS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3.150,00 €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11.000,00 €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Total Consolidado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