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PRESUPUESTO 3.1.1: PLAN DE INVERSIÓN Y CAPITALIZACIÓN CON SUBVENCIONES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PRESUPUESTOS · 02. SUBVENCIONES 3.1.1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Presupuesto de Capitalización de Intangibles e Inmovilizado Material ante LEADER e INFO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Cuadro Maestro de Inversión y Financiación Pública Subvencionable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Concepto de Inversión / Partida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Gasto Estimado (€)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% Subvencionable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Subvención Estimada (€)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Aportación Neta (€)</w:t>
            </w:r>
          </w:p>
        </w:tc>
        <w:tc>
          <w:tcPr>
            <w:tcW w:type="dxa" w:w="156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Procedencia / Línea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Desarrollo y Capitalización Motores ESEF/XBRL (MOD_IT_01/02)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15.000,00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60%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9.000,00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6.000,00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 Empresas Innovadoras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Motor NLP Extracción KAMs ISA 701 y CSRD (MOD_IT_03)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12.000,00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60%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7.200,00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4.800,00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 Empresas Innovadoras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Data Lake Columnar DuckDB/Parquet y SFI Lab (MOD_IT_04/05)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10.000,00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60%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6.000,00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4.000,00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 Inversiones Tecnológicas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Estación de Trabajo Alta Capacidad (Workstation Ryzen 9/64GB)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3.200,00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70%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2.240,00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960,00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Altiplano Yecla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Servidor Local Backup y Almacenamiento NAS Raid 10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2.100,00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70%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1.470,00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630,00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Altiplano Yecla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Monitores Duales 4K Ergonómicos para Auditoría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1.100,00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70%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770,00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330,00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Altiplano Yecla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Mobiliario Técnico Oficina (Mesa Elevable + Silla Ergonómica)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1.600,00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70%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1.120,00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480,00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Altiplano Yecla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Registro Marcas y Dominios Europeos (OEPM / EUIPO)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1.500,00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50%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750,00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750,00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Ticket Rural / INFO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Ticket Rural Emprendedor (Subvención a Tanto Alzado)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18.000,00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100%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18.000,00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Ticket Rural Yecla</w:t>
            </w:r>
          </w:p>
        </w:tc>
      </w:tr>
      <w:tr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TOTALES PROGRAMA INVERSIÓN Y SUBVENCIONES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64.500,00 €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―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46.550,00 €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17.950,00 €</w:t>
            </w:r>
          </w:p>
        </w:tc>
        <w:tc>
          <w:tcPr>
            <w:tcW w:type="dxa" w:w="156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LEADER + INFO Murcia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Directrices de Ejecución Financiera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Efecto Incentivador: </w:t>
      </w:r>
      <w:r>
        <w:rPr>
          <w:rFonts w:ascii="Calibri" w:hAnsi="Calibri"/>
          <w:sz w:val="20"/>
        </w:rPr>
        <w:t>Ningún gasto material ni contrato de desarrollo de esta tabla puede iniciarse antes de la solicitud formal en el GAL del Altiplano.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Cofinanciación: </w:t>
      </w:r>
      <w:r>
        <w:rPr>
          <w:rFonts w:ascii="Calibri" w:hAnsi="Calibri"/>
          <w:sz w:val="20"/>
        </w:rPr>
        <w:t>La aportación neta (17.950 €) se cubre mediante los fondos propios iniciales y el flujo de caja positivo generado por la comercialización temprana en Fase 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