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2043"/>
          <w:sz w:val="40"/>
        </w:rPr>
        <w:t>MODELO DE ROLLING FORECAST TRIMESTRAL Y PROYECCIÓN MÓVIL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03. PRESUPUESTOS · 04. ROLLING FORECAST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Metodología de Actualización de Previsiones a 4 Trimestres Vista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Protocolo de Revisión Trimestral</w:t>
      </w:r>
    </w:p>
    <w:p>
      <w:pPr>
        <w:spacing w:after="80"/>
      </w:pPr>
      <w:r>
        <w:rPr>
          <w:rFonts w:ascii="Calibri" w:hAnsi="Calibri"/>
          <w:sz w:val="20"/>
        </w:rPr>
        <w:t>Al cierre de cada trimestre (abril, julio, octubre, enero) se reemplaza el trimestre cerrado por los datos reales y se proyecta un nuevo trimestre hacia adelante, manteniendo siempre una visión móvil de 12 meses.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