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2043"/>
          <w:sz w:val="40"/>
        </w:rPr>
        <w:t>CUADRO DE ANÁLISIS DE DESVIACIONES: BUDGET VS. ACTUAL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03. PRESUPUESTOS · 05. DESVIACIONES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Control de Eficiencia del Gasto y Detección Temprana de Desvíos Presupuestarios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Fórmulas de Desviación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Desviación Absoluta (€): </w:t>
      </w:r>
      <w:r>
        <w:rPr>
          <w:rFonts w:ascii="Calibri" w:hAnsi="Calibri"/>
          <w:sz w:val="20"/>
        </w:rPr>
        <w:t>Importe Real - Importe Presupuestado.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Desviación Relativa (%): </w:t>
      </w:r>
      <w:r>
        <w:rPr>
          <w:rFonts w:ascii="Calibri" w:hAnsi="Calibri"/>
          <w:sz w:val="20"/>
        </w:rPr>
        <w:t>(Importe Real - Importe Presupuestado) / Importe Presupuestado × 100.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Umbral de Alerta: </w:t>
      </w:r>
      <w:r>
        <w:rPr>
          <w:rFonts w:ascii="Calibri" w:hAnsi="Calibri"/>
          <w:sz w:val="20"/>
        </w:rPr>
        <w:t>Cualquier desviación en costes superior al +15% requiere justificación y ajuste en el Rolling Forecast.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