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GUÍA TÉCNICA Y ESTRUCTURA DE FACTURA B2B INSTITUCIONAL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04. FACTURACIÓN · 01. B2B INSTITUCIONAL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Estándar de Facturación en PDF con Firma Digital y Desglose de Descuentos Comerciales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Estructura Obligatoria de una Factura B2B según RD 1619/2012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1. Encabezado y Datos del Emisor: </w:t>
      </w:r>
      <w:r>
        <w:rPr>
          <w:rFonts w:ascii="Calibri" w:hAnsi="Calibri"/>
          <w:sz w:val="20"/>
        </w:rPr>
        <w:t>Denominación social (STATER S.L.), NIF, domicilio fiscal (Yecla, Murcia, España), email corporativo y datos registrales (Tomo, Folio, Hoja del Registro Mercantil de Murcia).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2. Datos del Cliente / Destinatario: </w:t>
      </w:r>
      <w:r>
        <w:rPr>
          <w:rFonts w:ascii="Calibri" w:hAnsi="Calibri"/>
          <w:sz w:val="20"/>
        </w:rPr>
        <w:t>Razón social completa, NIF / VAT Number (verificado en VIES para clientes UE) y domicilio fiscal.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3. Número y Serie de Factura: </w:t>
      </w:r>
      <w:r>
        <w:rPr>
          <w:rFonts w:ascii="Calibri" w:hAnsi="Calibri"/>
          <w:sz w:val="20"/>
        </w:rPr>
        <w:t>Numeración correlativa con series diferenciadas (ej. Serie B2B-2026-001, Serie B2C-2026-001).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4. Fechas: </w:t>
      </w:r>
      <w:r>
        <w:rPr>
          <w:rFonts w:ascii="Calibri" w:hAnsi="Calibri"/>
          <w:sz w:val="20"/>
        </w:rPr>
        <w:t>Fecha de expedición y fecha de realización de la operación si son distintas.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5. Concepto y Desglose: </w:t>
      </w:r>
      <w:r>
        <w:rPr>
          <w:rFonts w:ascii="Calibri" w:hAnsi="Calibri"/>
          <w:sz w:val="20"/>
        </w:rPr>
        <w:t>Descripción detallada del servicio (ej. 'Licencia Anual ARGOS API Tier 1'), Base Imponible, Tipo de IVA aplicable (21% o 0% con mención legal de exención), Descuentos y Total Factura.</w:t>
      </w:r>
    </w:p>
    <w:p>
      <w:pPr>
        <w:pStyle w:val="ListBullet"/>
        <w:spacing w:after="40" w:before="0"/>
      </w:pPr>
      <w:r>
        <w:rPr>
          <w:rFonts w:ascii="Calibri" w:hAnsi="Calibri"/>
          <w:b/>
          <w:sz w:val="20"/>
        </w:rPr>
        <w:t xml:space="preserve">6. Medios de Pago y Plazos: </w:t>
      </w:r>
      <w:r>
        <w:rPr>
          <w:rFonts w:ascii="Calibri" w:hAnsi="Calibri"/>
          <w:sz w:val="20"/>
        </w:rPr>
        <w:t>IBAN de la cuenta de Banco Santander, código BIC/SWIFT y fecha de vencimiento según la modalidad elegida.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Aplicación de la Política Comercial y Descuentos B2B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Modalidad de Pago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Estructura de Plazos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Descuento Aplicable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Fórmula de Facturación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Pronto Pago Total (Recomendado)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100% anticipado a la firma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8% de Descuento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Base Imponible × 0,92 + IVA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Fraccionado Corto (2 Pagos)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50% inicial + 50% a los 45 días (1,5 meses)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4% de Descuento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Base Imponible × 0,96 (2 facturas/hitos de 50%)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Fraccionado Estándar (4 Pagos)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4 pagos mensuales consecutivos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0% (Tarifa estándar)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Base Imponible / 4 (Facturación mensual)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3. Protocolo de Firma Digital</w:t>
      </w:r>
    </w:p>
    <w:p>
      <w:pPr>
        <w:spacing w:after="80"/>
      </w:pPr>
      <w:r>
        <w:rPr>
          <w:rFonts w:ascii="Calibri" w:hAnsi="Calibri"/>
          <w:sz w:val="20"/>
        </w:rPr>
        <w:t>Una vez generada la factura en Word/PDF, se estampará la **Firma Electrónica Avanzada** con el certificado digital de representante de la entidad emitido por la FNMT, garantizando plena validez jurídica.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