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2043"/>
          <w:sz w:val="40"/>
        </w:rPr>
        <w:t>POLÍTICA DE COBROS, GESTIÓN DE MOROSIDAD Y ANTIGÜEDAD DE DEUDA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FACTURACIÓN · 03. MOROSIDAD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Clasificación de Saldos de Clientes por Antigüedad (*Aging Report*) y Acciones de Reclamación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Aging Report de Clientes Institucionales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Tramo de Vencimiento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Calificación de Riesgo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Acción de Cobro Automática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0 a 15 días tras vencimiento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Riesgo Bajo (Retraso administrativo)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Recordatorio amistoso por correo electrónico corporativo.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16 a 30 días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Riesgo Medio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Llamada directa al director financiero / responsable del contrato.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31 a 60 días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Riesgo Alto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Suspensión temporal del acceso a la API / Data Lake.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&gt; 60 días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Riesgo Severo / Fallido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Burofax de requerimiento formal y reclasificación a cliente dudoso cobro (Cuenta 436).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