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CLÁUSULAS LEGALES Y CONDICIONES GENERALES DE VENTA (CGV)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FACTURACIÓN · 04. CONDICIONES VENTA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Términos Comerciales, Propiedad Intelectual, SLA y Cláusulas Fiscales para Facturas B2B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Cláusulas Tipo para Incorporar al Reverso de Facturas B2B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Propiedad del Dato y Licencia de Uso: </w:t>
      </w:r>
      <w:r>
        <w:rPr>
          <w:rFonts w:ascii="Calibri" w:hAnsi="Calibri"/>
          <w:sz w:val="20"/>
        </w:rPr>
        <w:t>Los datos suministrados por ARGOS se otorgan bajo licencia de uso no exclusiva y revocable.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Jurisdicción y Ley Aplicable: </w:t>
      </w:r>
      <w:r>
        <w:rPr>
          <w:rFonts w:ascii="Calibri" w:hAnsi="Calibri"/>
          <w:sz w:val="20"/>
        </w:rPr>
        <w:t>Sometimiento expreso a los Juzgados y Tribunales de Yecla / Murcia bajo legislación española.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