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PLAN FINANCIERO DE EXPANSIÓN INTERNACIONAL Y LÍNEA ENISA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· 03. ENISA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Estrategia de Desembarco en Países Bajos (Holanda) y Financiación Participativa en Fase 1/2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Justificación Estratégica: ¿Por qué Países Bajos como Mercado #1?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Cultura Bursátil y Financiera: </w:t>
      </w:r>
      <w:r>
        <w:rPr>
          <w:rFonts w:ascii="Calibri" w:hAnsi="Calibri"/>
          <w:sz w:val="20"/>
        </w:rPr>
        <w:t>Países Bajos lidera la penetración de inversión y cultura financiera en Europa continental (&gt;32% de la población invierte de forma autónoma).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Dominio del Inglés: </w:t>
      </w:r>
      <w:r>
        <w:rPr>
          <w:rFonts w:ascii="Calibri" w:hAnsi="Calibri"/>
          <w:sz w:val="20"/>
        </w:rPr>
        <w:t>Puntuación #1 a nivel mundial en el índice EF EPI (&gt;90% de fluidez), permitiendo desplegar la versión en inglés sin necesidad de traducir al holandés en fase inicial.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Infraestructura de Mercado: </w:t>
      </w:r>
      <w:r>
        <w:rPr>
          <w:rFonts w:ascii="Calibri" w:hAnsi="Calibri"/>
          <w:sz w:val="20"/>
        </w:rPr>
        <w:t>Sede central de Euronext Ámsterdam y un denso tejido de boutiques de inversión, quants y Family Offices ya cubiertos por los motores de ingesta de ARGOS.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Calendario de Expansión por Fases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Fase / Mes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País Objetivo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Idioma / Producto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Financiera y Promocional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1 (Mes 1)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España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Español (Web + Desktop)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Validación y captación de los primeros 10-15 clientes institucionales.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1 (Mes 2/3)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Países Bajos (Holanda)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Inglés (ARGOS + Stater Pro)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Inyección promocional directa y captación de fondos boutique de Ámsterdam.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2 (Año 2)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Suecia y Finlandia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Inglés (Ingesta Nasdaq Nordic)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Incorporación de datos nórdicos y salto a la región con mayor tasa de inversión.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2/3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Reino Unido (UK)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Inglés (Ingesta LSE / FCA)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Activación de la plaza de Londres con apoyo de financiación ENISA.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3. Estructuración de la Solicitud ENISA (Fase 1/2)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Línea Objetivo: </w:t>
      </w:r>
      <w:r>
        <w:rPr>
          <w:rFonts w:ascii="Calibri" w:hAnsi="Calibri"/>
          <w:sz w:val="20"/>
        </w:rPr>
        <w:t>ENISA Jóvenes Emprendedores o Emprendedores Digitales (hasta 50.000€ - 75.000€ sin avales).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Ecuación de Co-inversión: </w:t>
      </w:r>
      <w:r>
        <w:rPr>
          <w:rFonts w:ascii="Calibri" w:hAnsi="Calibri"/>
          <w:sz w:val="20"/>
        </w:rPr>
        <w:t>ENISA exige una aportación de fondos propios de al menos el 50% de la cuantía del préstamo. Los beneficios netos acumulados y el capital social justificarán la concesión.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