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MATRIZ DE COMPATIBILIDAD Y OPTIMIZACIÓN: CRÉDITOS CLOUD VS. SUBVENCIONES PÚBLICAS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05. SUBVENCIONES Y AYUDAS · 05. ESTRATEGIA FINANCIERA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Sinergia entre Financiación en Especie (Microsoft/Google) y Fondos Públicos (LEADER, INFO, ENISA)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Reglas de Compatibilidad Legal y Fiscal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Naturaleza Contable y Fiscal: </w:t>
      </w:r>
      <w:r>
        <w:rPr>
          <w:rFonts w:ascii="Calibri" w:hAnsi="Calibri"/>
          <w:sz w:val="20"/>
        </w:rPr>
        <w:t>Los créditos cloud son descuentos sobre servicios recibidos; no constituyen un ingreso patrimonial tributable ni una subvención pública sujeta a la Ley General de Subvenciones.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Régimen de Minimis: </w:t>
      </w:r>
      <w:r>
        <w:rPr>
          <w:rFonts w:ascii="Calibri" w:hAnsi="Calibri"/>
          <w:sz w:val="20"/>
        </w:rPr>
        <w:t>No computan para el límite de 300.000 € en 3 años del Reglamento (UE) 2023/2831 de minimis, dejando intacto el cupo para LEADER y las ayudas del INFO.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Matriz de Asignación Estratégica de Gastos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Línea de Gasto / Inversión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Fuente de Financiación Óptima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Mecanismo y Justificación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Inferencia NLP y APIs LLM (OpenAI / Gemini)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Créditos Microsoft Founders Hub / Google Cloud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Créditos gratuitos en especie (Ahorro del 100% en caja).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Almacenamiento del Data Lake (DuckDB / S3)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Créditos Azure / Google Cloud Storage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Alojamiento gratuito de los repositorios de EE.UU. y Europa.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Equipos Físicos (Ordenadores, Monitores, Red)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Subvención LEADER Yecla (Ticket Rural / ADA)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Subvención dineraria a fondo perdido al 50-100%.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Desarrollo Software e Intangibles (Cuenta 201)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INFO Murcia (EIBTs / Innovación)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Subvención a fondo perdido de hasta el 80% (hasta 80k€).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Expansión Internacional (Fase 2)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Préstamo Participativo ENISA Emprendedores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Financiación sin aval de 30.000 € a 50.000 €.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