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PROGRAMAS DE CRÉDITOS CLOUD E INTELIGENCIA ARTIFICIAL: MICROSOFT, GOOGLE Y AWS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SUBVENCIONES Y AYUDAS · 05. CRÉDITOS CLOUD TECH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Estrategia de Financiación No Dilutiva en Especie: Hasta 350.000 $ en Cómputo, Almacenamiento y Modelos de IA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Resumen Ejecutivo y Tesis de Financiación Cloud</w:t>
      </w:r>
    </w:p>
    <w:p>
      <w:pPr>
        <w:spacing w:after="80"/>
      </w:pPr>
      <w:r>
        <w:rPr>
          <w:rFonts w:ascii="Calibri" w:hAnsi="Calibri"/>
          <w:sz w:val="20"/>
        </w:rPr>
        <w:t>Los programas de créditos para startups de las grandes tecnológicas constituyen una vía de financiación indirecta fundamental para STATER durante las Fases 0, 1 y 2.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Ahorro Neto de Tesorería: </w:t>
      </w:r>
      <w:r>
        <w:rPr>
          <w:rFonts w:ascii="Calibri" w:hAnsi="Calibri"/>
          <w:sz w:val="20"/>
        </w:rPr>
        <w:t>Permiten ejecutar la ingesta masiva de datos (SEC EDGAR y ESEF) y el entrenamiento/inferencia de modelos NLP de auditoría (KAMs/CSRD) a coste cero de caja.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Compatibilidad Total con Ayudas Públicas: </w:t>
      </w:r>
      <w:r>
        <w:rPr>
          <w:rFonts w:ascii="Calibri" w:hAnsi="Calibri"/>
          <w:sz w:val="20"/>
        </w:rPr>
        <w:t>Al ser descuentos comerciales y créditos en especie, son 100% compatibles con subvenciones dinerarias (LEADER, INFO Murcia y ENISA), no computando contra el límite de minimis.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Cuadro Comparativo de los 3 Grandes Programas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Proveedor / Programa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Volumen Máximo de Créditos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Servicios Clave Incluidos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Requisito de Entrada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Vigencia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Microsoft for Startups Founders Hub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Hasta 150.000 $ en Azure + 2.500 $ OpenAI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Azure OpenAI, Máquinas GPU, GitHub Enterprise, M365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Persona física o S.L. (Sin inversión previa obligatoria)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 a 2 Años (Escalable)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Google for Startups Cloud (AI First)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Hasta 100.000 $ (Año 1) + 100.000 $ (Año 2)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Google Cloud Vertex AI, Gemini 1.5 Pro, BigQuery, Workspace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Startup de IA / Fintech con dominio web propio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12 a 24 Meses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AWS Activate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1.000 $ (Founders) a 100.000 $ (Portfolio)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Instancias EC2, S3, Bedrock (Claude / Llama), Soporte Business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Vía directa o a través de CEEIM / UMU Emprende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 Año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