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MODELO DE RUNWAY, BURN RATE Y PREVISIÓN DE TESORERÍA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06. TESORERÍA · 02. RUNWAY Y BURN RATE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Cuadro de Mando Mensual de Caja, Tasa de Consumo de Capital y Meses de Autonomía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Fórmulas de Control de Tesorería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Gross Burn Rate (€/mes): </w:t>
      </w:r>
      <w:r>
        <w:rPr>
          <w:rFonts w:ascii="Calibri" w:hAnsi="Calibri"/>
          <w:sz w:val="20"/>
        </w:rPr>
        <w:t>Total de salidas de caja mensuales operativas.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Net Burn Rate (€/mes): </w:t>
      </w:r>
      <w:r>
        <w:rPr>
          <w:rFonts w:ascii="Calibri" w:hAnsi="Calibri"/>
          <w:sz w:val="20"/>
        </w:rPr>
        <w:t>Salidas de caja - Entradas de caja por ventas cobradas.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Runway (Meses): </w:t>
      </w:r>
      <w:r>
        <w:rPr>
          <w:rFonts w:ascii="Calibri" w:hAnsi="Calibri"/>
          <w:sz w:val="20"/>
        </w:rPr>
        <w:t>Saldo Total de Tesorería Disponible (Santander + Trade Republic) / Net Burn Rate.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