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MANIFIESTO FUNDACIONAL: EL PUNTO DE ACCESO TRANSATLÁNTICO DE DATOS ABIERTOS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00. MANIFIESTO ESTRATÉGICO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Democratización del Dato Financiero y Erradicación de la Asimetría Informativa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La Tesis Transatlántica de STATER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El Duopolio del Dato Bursátil: </w:t>
      </w:r>
      <w:r>
        <w:rPr>
          <w:rFonts w:ascii="Calibri" w:hAnsi="Calibri"/>
          <w:sz w:val="20"/>
        </w:rPr>
        <w:t>Durante décadas, el acceso a datos normalizados de balances y auditoría ha estado secuestrado por terminales cerrados que cobran más de 40.000 € anuales.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La Propuesta STATER: </w:t>
      </w:r>
      <w:r>
        <w:rPr>
          <w:rFonts w:ascii="Calibri" w:hAnsi="Calibri"/>
          <w:sz w:val="20"/>
        </w:rPr>
        <w:t>Unificar en un único esquema columnar determinista y accesible la totalidad del mercado corporativo europeo (ESEF/iXBRL) y estadounidense (SEC EDGAR), poniendo al alcance de cualquier inversor y gestora independiente la potencia analítica institucional.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