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FASE 1: CONSTITUCIÓN, LANZAMIENTO ESPAÑA Y DESEMBARCO EN PAÍSES BAJOS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HOJA DE RUTA · FASE 1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Meses 1 a 12 · Constitución SL (22k€), Cadencia Mes 5/6 en Inglés y Primeros 50k€ ARR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Cronograma Ejecutivo de la Fase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Periodo / Hito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Mercado Objetivo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Idioma y Canales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Económico / Operativo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Meses 1 a 4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España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Español (Web + Desktop)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Constitución SL (65%/35%), 10 clientes B2B piloto y apertura retail.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Meses 5 a 6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Países Bajos (Ámsterdam)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Lanzamiento versión Inglés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Campaña promocional institucional dirigida a gestoras boutique holandesas.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Meses 7 a 12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España + Países Bajos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Bilingüe (ES / EN)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Alcanzar 15-20 clientes B2B + 300 retail (&gt;50.000 € ARR) y preparar ENISA.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