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FASE 2: ESCALA EN PAÍSES NÓRDICOS, REINO UNIDO Y FINANCIACIÓN ENISA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01. HOJA DE RUTA · FASE 2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Año 2 · Ingesta Nasdaq Nordic / LSE, Préstamo ENISA Digital y Salto a &gt;150k€ ARR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Expansión a Mercados de Alta Cultura Financiera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Ingesta Nórdica y UK: </w:t>
      </w:r>
      <w:r>
        <w:rPr>
          <w:rFonts w:ascii="Calibri" w:hAnsi="Calibri"/>
          <w:sz w:val="20"/>
        </w:rPr>
        <w:t>Incorporación de Suecia, Finlandia, Dinamarca (Nasdaq Nordic) y Reino Unido (LSE / FCA).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Financiación Participativa ENISA: </w:t>
      </w:r>
      <w:r>
        <w:rPr>
          <w:rFonts w:ascii="Calibri" w:hAnsi="Calibri"/>
          <w:sz w:val="20"/>
        </w:rPr>
        <w:t>Captación de 30.000 € a 50.000 € en préstamo participativo para acelerar ventas internacionales.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