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FASE 3: CONSOLIDACIÓN GLOBAL Y EVOLUCIÓN A EAF TECNOLÓGICA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01. HOJA DE RUTA · FASE 3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Año 3 · Expansión a Sudamérica/Asia y Solicitud de Licencia EAF ante la CNMV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Hitos de Madurez Corporativa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Cobertura Global: </w:t>
      </w:r>
      <w:r>
        <w:rPr>
          <w:rFonts w:ascii="Calibri" w:hAnsi="Calibri"/>
          <w:sz w:val="20"/>
        </w:rPr>
        <w:t>Apertura de datos a mercados emergentes de Sudamérica y Asia.</w:t>
      </w:r>
    </w:p>
    <w:p>
      <w:pPr>
        <w:pStyle w:val="ListBullet"/>
        <w:spacing w:after="40"/>
      </w:pPr>
      <w:r>
        <w:rPr>
          <w:rFonts w:ascii="Calibri" w:hAnsi="Calibri"/>
          <w:b/>
          <w:sz w:val="20"/>
        </w:rPr>
        <w:t xml:space="preserve">Transición Regulatoria: </w:t>
      </w:r>
      <w:r>
        <w:rPr>
          <w:rFonts w:ascii="Calibri" w:hAnsi="Calibri"/>
          <w:sz w:val="20"/>
        </w:rPr>
        <w:t>Solicitud formal de autorización como Empresa de Asesoramiento Financiero (EAF) ante la CNMV para emitir recomendaciones personalizadas formalmente reconocidas.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