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/>
          <w:b/>
          <w:color w:val="0F2043"/>
          <w:sz w:val="38"/>
        </w:rPr>
        <w:t>REGLAMENTO DE LA DIRECCIÓN GENERAL Y LAS TRES SECCIONES OPERATIVAS</w:t>
      </w:r>
    </w:p>
    <w:p>
      <w:pPr>
        <w:spacing w:after="280"/>
      </w:pPr>
      <w:r>
        <w:rPr>
          <w:rFonts w:ascii="Calibri" w:hAnsi="Calibri"/>
          <w:b/>
          <w:color w:val="646E7D"/>
          <w:sz w:val="19"/>
        </w:rPr>
        <w:t>CATEGORÍA: 02. GOBERNANZA · 01. DIRECCIÓN GENERAL  ·  ECOSISTEMA STATER / ARGOS / LUMINIC / INTRINSIC VALUE</w:t>
        <w:br/>
      </w:r>
      <w:r>
        <w:rPr>
          <w:rFonts w:ascii="Calibri" w:hAnsi="Calibri"/>
          <w:i/>
          <w:color w:val="283246"/>
          <w:sz w:val="22"/>
        </w:rPr>
        <w:t>Atribuciones Plenas del Socio Fundador (65%) y Coordinación de las 3 Divisiones</w:t>
      </w:r>
    </w:p>
    <w:p>
      <w:pPr>
        <w:spacing w:after="240"/>
      </w:pPr>
      <w:r>
        <w:rPr>
          <w:color w:val="B4BECD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240" w:after="80"/>
      </w:pPr>
      <w:r>
        <w:rPr>
          <w:rFonts w:ascii="Calibri" w:hAnsi="Calibri"/>
          <w:b/>
          <w:color w:val="142D5A"/>
          <w:sz w:val="26"/>
        </w:rPr>
        <w:t>1. Atribuciones y Facultades del Director General (Socio Fundador)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 xml:space="preserve">Poder Ejecutivo Pleno: </w:t>
      </w:r>
      <w:r>
        <w:rPr>
          <w:rFonts w:ascii="Calibri" w:hAnsi="Calibri"/>
          <w:sz w:val="20"/>
        </w:rPr>
        <w:t>El Socio Fundador (65% del capital) ostenta la Dirección General y la condición de Administrador Único por tiempo indefinido.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 xml:space="preserve">Autonomía Operativa y Financiera: </w:t>
      </w:r>
      <w:r>
        <w:rPr>
          <w:rFonts w:ascii="Calibri" w:hAnsi="Calibri"/>
          <w:sz w:val="20"/>
        </w:rPr>
        <w:t>Gestión sin límite cuantitativo de gasto para contratación de servidores, licencias, marketing y ejecución presupuestaria ordinaria.</w:t>
      </w:r>
    </w:p>
    <w:p>
      <w:pPr>
        <w:spacing w:before="240" w:after="80"/>
      </w:pPr>
      <w:r>
        <w:rPr>
          <w:rFonts w:ascii="Calibri" w:hAnsi="Calibri"/>
          <w:b/>
          <w:color w:val="142D5A"/>
          <w:sz w:val="26"/>
        </w:rPr>
        <w:t>2. Coordinación de las Tres Secciones Operativas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3864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Sección Operativa</w:t>
            </w:r>
          </w:p>
        </w:tc>
        <w:tc>
          <w:tcPr>
            <w:tcW w:type="dxa" w:w="3120"/>
            <w:shd w:fill="1F3864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Áreas Funcionales</w:t>
            </w:r>
          </w:p>
        </w:tc>
        <w:tc>
          <w:tcPr>
            <w:tcW w:type="dxa" w:w="3120"/>
            <w:shd w:fill="1F3864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Métricas y KPIs Clave</w:t>
            </w:r>
          </w:p>
        </w:tc>
      </w:tr>
      <w:tr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1. Ventas e Ingresos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Ventas B2B, Stripe Retail, pricing y contratos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MRR, ARR, CAC, Churn rate, LTV</w:t>
            </w:r>
          </w:p>
        </w:tc>
      </w:tr>
      <w:tr>
        <w:tc>
          <w:tcPr>
            <w:tcW w:type="dxa" w:w="312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2. Inversión y Gastos</w:t>
            </w:r>
          </w:p>
        </w:tc>
        <w:tc>
          <w:tcPr>
            <w:tcW w:type="dxa" w:w="312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Cloud, contabilidad PGC, tesorería y subvenciones</w:t>
            </w:r>
          </w:p>
        </w:tc>
        <w:tc>
          <w:tcPr>
            <w:tcW w:type="dxa" w:w="312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Burn rate, Runway, justificación subvenciones</w:t>
            </w:r>
          </w:p>
        </w:tc>
      </w:tr>
      <w:tr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3. Generales de la Actividad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Producto, marketing, ciberseguridad y QA contable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Filings parseados, Uptime 99.9%, incidentes QA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