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0F2043"/>
          <w:sz w:val="38"/>
        </w:rPr>
        <w:t>PROTOCOLO DE JUNTAS GENERALES Y MODELO DE ACTAS (65% / 35%)</w:t>
      </w:r>
    </w:p>
    <w:p>
      <w:pPr>
        <w:spacing w:after="280"/>
      </w:pPr>
      <w:r>
        <w:rPr>
          <w:rFonts w:ascii="Calibri" w:hAnsi="Calibri"/>
          <w:b/>
          <w:color w:val="646E7D"/>
          <w:sz w:val="19"/>
        </w:rPr>
        <w:t>CATEGORÍA: 02. GOBERNANZA · 02. PROTOCOLO DE JUNTAS  ·  ECOSISTEMA STATER / ARGOS / LUMINIC / INTRINSIC VALUE</w:t>
        <w:br/>
      </w:r>
      <w:r>
        <w:rPr>
          <w:rFonts w:ascii="Calibri" w:hAnsi="Calibri"/>
          <w:i/>
          <w:color w:val="283246"/>
          <w:sz w:val="22"/>
        </w:rPr>
        <w:t>Adopción de Acuerdos Societarios, Convocatoria y Modelo Oficial de Acta</w:t>
      </w:r>
    </w:p>
    <w:p>
      <w:pPr>
        <w:spacing w:after="240"/>
      </w:pPr>
      <w:r>
        <w:rPr>
          <w:color w:val="B4BECD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1. Régimen de Mayorías Societarias (65% / 35%)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Mayoría Ordinaria (&gt;50%): </w:t>
      </w:r>
      <w:r>
        <w:rPr>
          <w:rFonts w:ascii="Calibri" w:hAnsi="Calibri"/>
          <w:sz w:val="20"/>
        </w:rPr>
        <w:t>Garantizada por el Socio Fundador (65% de los votos).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Mayoría Reforzada (≥66,66%): </w:t>
      </w:r>
      <w:r>
        <w:rPr>
          <w:rFonts w:ascii="Calibri" w:hAnsi="Calibri"/>
          <w:sz w:val="20"/>
        </w:rPr>
        <w:t>Requiere el consenso entre el Socio Fundador y los socios minoritarios (alcanzando el 100% de los votos).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