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SOP-01: CONTROL DE CALIDAD DEL DATO CONTABLE DUAL (ESEF / SEC) Y MUESTREO DEL 25%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03. PROCEDIMIENTOS SOPs · 01. QA CONTABLE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Validación Algorítmica Determinista y Protocolo de Auditoría Humana Pericial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Filtro Algorítmico Determinista (Tolerancia Cero)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Regla de Cuadre Patrimonial: </w:t>
      </w:r>
      <w:r>
        <w:rPr>
          <w:rFonts w:ascii="Calibri" w:hAnsi="Calibri"/>
          <w:sz w:val="20"/>
        </w:rPr>
        <w:t>Ningún filing se incorpora al Data Lake si no satisface estrictamente: Total Activo = Total Pasivo + Patrimonio Neto.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Validación de Flujos de Efectivo: </w:t>
      </w:r>
      <w:r>
        <w:rPr>
          <w:rFonts w:ascii="Calibri" w:hAnsi="Calibri"/>
          <w:sz w:val="20"/>
        </w:rPr>
        <w:t>Conciliación del saldo inicial y final de caja en el Estado de Flujos de Efectivo.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Cuarentena Automática: </w:t>
      </w:r>
      <w:r>
        <w:rPr>
          <w:rFonts w:ascii="Calibri" w:hAnsi="Calibri"/>
          <w:sz w:val="20"/>
        </w:rPr>
        <w:t>Todo informe con error taxonómico o descuadre se desvía a la cola de aislamiento para revisión.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Protocolo de Revisión Humana Pericial por Muestreo del 25%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Muestreo Sistemático: </w:t>
      </w:r>
      <w:r>
        <w:rPr>
          <w:rFonts w:ascii="Calibri" w:hAnsi="Calibri"/>
          <w:sz w:val="20"/>
        </w:rPr>
        <w:t>Un 25% de todos los filings procesados y el 100% de las empresas con salvedades graves de auditoría (KAMs/CAMs) son auditados manualmente por analistas titulados.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Trazabilidad Criptográfica: </w:t>
      </w:r>
      <w:r>
        <w:rPr>
          <w:rFonts w:ascii="Calibri" w:hAnsi="Calibri"/>
          <w:sz w:val="20"/>
        </w:rPr>
        <w:t>Cada dataset validado recibe un sello SHA-256 inmutable.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