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SOP-02: GESTIÓN DE INCIDENCIAS B2B Y CUMPLIMIENTO DE SLA DE 2 HORAS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PROCEDIMIENTOS SOPs · 02. INCIDENCIAS B2B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Protocolo de Respuesta Técnica Inmediata y Mantenimiento Programado en Fines de Semana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Niveles de Severidad y Tiempos Máximos de Resolución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 de Severidad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 la Incidencia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Tiempo Respuesta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Tiempo Máximo Resolución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CRÍTICO (Nivel 1)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Caída total de API o endpoints B2B inaccesibles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15 minutos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2 Horas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ALTO (Nivel 2)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Latencia elevada (&gt;500ms) o errores en descargas bulk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30 minutos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4 Horas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MEDIO (Nivel 3)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Dudas sobre un dato concreto o consulta documental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2 horas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&lt; 24 Horas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Ventanas de Mantenimiento Programado</w:t>
      </w:r>
    </w:p>
    <w:p>
      <w:pPr>
        <w:spacing w:after="80"/>
      </w:pPr>
      <w:r>
        <w:rPr>
          <w:rFonts w:ascii="Calibri" w:hAnsi="Calibri"/>
          <w:sz w:val="20"/>
        </w:rPr>
        <w:t>Las actualizaciones de servidores y despliegues mayores se ejecutan exclusivamente los **sábados de 22:00 a 04:00 UTC**, fuera del horario bursátil de Madrid y Nueva York.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