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SOP-03: GESTIÓN DE CRISIS, COMUNICACIÓN Y RESPUESTA A REGULADORES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PROCEDIMIENTOS SOPs · 03. GESTIÓN DE CRISIS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Protocolo ante Ataques Informáticos, Caídas Masivas o Requerimientos de la CNMV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Gabinete de Crisis y Portavocía Única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Portavoz Oficial Único: </w:t>
      </w:r>
      <w:r>
        <w:rPr>
          <w:rFonts w:ascii="Calibri" w:hAnsi="Calibri"/>
          <w:sz w:val="20"/>
        </w:rPr>
        <w:t>El Director General es la única persona autorizada para emitir comunicaciones oficiales.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Protocolo ante Requerimientos de Supervisores (CNMV/ESMA): </w:t>
      </w:r>
      <w:r>
        <w:rPr>
          <w:rFonts w:ascii="Calibri" w:hAnsi="Calibri"/>
          <w:sz w:val="20"/>
        </w:rPr>
        <w:t>Remisión inmediata del dossier de no intrusismo y certificación de que los informes son modelos algorítmicos con horquillas de sensibilidad.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