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0F2043"/>
          <w:sz w:val="38"/>
        </w:rPr>
        <w:t>MATRIZ MAESTRA DE GESTIÓN Y MITIGACIÓN DE RIESGOS EMPRESARIALES</w:t>
      </w:r>
    </w:p>
    <w:p>
      <w:pPr>
        <w:spacing w:after="280"/>
      </w:pPr>
      <w:r>
        <w:rPr>
          <w:rFonts w:ascii="Calibri" w:hAnsi="Calibri"/>
          <w:b/>
          <w:color w:val="646E7D"/>
          <w:sz w:val="19"/>
        </w:rPr>
        <w:t>CATEGORÍA: 04. RIESGOS Y CONTINUIDAD · 01. MATRIZ DE RIESGOS  ·  ECOSISTEMA STATER / ARGOS / LUMINIC / INTRINSIC VALUE</w:t>
        <w:br/>
      </w:r>
      <w:r>
        <w:rPr>
          <w:rFonts w:ascii="Calibri" w:hAnsi="Calibri"/>
          <w:i/>
          <w:color w:val="283246"/>
          <w:sz w:val="22"/>
        </w:rPr>
        <w:t>Evaluación de Riesgos Tecnológicos, Regulatorios, Financieros y Comerciales</w:t>
      </w:r>
    </w:p>
    <w:p>
      <w:pPr>
        <w:spacing w:after="240"/>
      </w:pPr>
      <w:r>
        <w:rPr>
          <w:color w:val="B4BECD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Calibri" w:hAnsi="Calibri"/>
          <w:b/>
          <w:color w:val="142D5A"/>
          <w:sz w:val="26"/>
        </w:rPr>
        <w:t>1. Matriz de Riesgos y Medidas de Mitigación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Tipología de Riesgo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Descripción del Riesgo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Probabilidad / Impacto</w:t>
            </w:r>
          </w:p>
        </w:tc>
        <w:tc>
          <w:tcPr>
            <w:tcW w:type="dxa" w:w="2340"/>
            <w:shd w:fill="1F3864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Medida de Mitigación Implementada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Regulatorio (CNMV)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Acusación de asesoramiento financiero no autorizado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Baja / Crítico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Uso de horquillas de sensibilidad, safe harbors y dossier Innovation Hub.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Tecnológico (OAMs)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Bloqueo de scraping o cambio de formato en SEC/ESEF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Media / Alto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Uso de APIs oficiales, proxies rotativos y parsers semánticos adaptativos.</w:t>
            </w:r>
          </w:p>
        </w:tc>
      </w:tr>
      <w:tr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Financiero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Retraso en el cobro de subvenciones o clientes B2B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Media / Medio</w:t>
            </w:r>
          </w:p>
        </w:tc>
        <w:tc>
          <w:tcPr>
            <w:tcW w:type="dxa" w:w="2340"/>
            <w:shd w:fill="FFFFFF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Mantenimiento de la Reserva de Seguridad de 6.000 € en Trade Republic.</w:t>
            </w:r>
          </w:p>
        </w:tc>
      </w:tr>
      <w:tr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Ciberseguridad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Pérdida de datos o vulnerabilidad en el Data Lake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Baja / Crítico</w:t>
            </w:r>
          </w:p>
        </w:tc>
        <w:tc>
          <w:tcPr>
            <w:tcW w:type="dxa" w:w="2340"/>
            <w:shd w:fill="F2F5F9"/>
          </w:tcPr>
          <w:p>
            <w:pPr>
              <w:jc w:val="left"/>
            </w:pPr>
            <w:r>
              <w:rPr>
                <w:rFonts w:ascii="Calibri" w:hAnsi="Calibri"/>
                <w:color w:val="1E1E1E"/>
                <w:sz w:val="18"/>
              </w:rPr>
              <w:t>Cifrado AES-256, backups duales y Disaster Recovery Plan (DRP).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