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PLAN DE RECUPERACIÓN ANTE DESASTRES: DRP (RTO &lt; 4H / RPO &lt; 24H)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04. RIESGOS Y CONTINUIDAD · 02. DISASTER RECOVERY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Protocolo de Backup Dual Cifrado y Restauración de la Infraestructura en &lt; 4 Horas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Arquitectura de Copias de Seguridad Geográficamente Redundantes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Servidor Principal (Producción): </w:t>
      </w:r>
      <w:r>
        <w:rPr>
          <w:rFonts w:ascii="Calibri" w:hAnsi="Calibri"/>
          <w:sz w:val="20"/>
        </w:rPr>
        <w:t>Hetzner / AWS ubicado en Frankfurt (Unión Europea).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Réplica Secundaria Cifrada: </w:t>
      </w:r>
      <w:r>
        <w:rPr>
          <w:rFonts w:ascii="Calibri" w:hAnsi="Calibri"/>
          <w:sz w:val="20"/>
        </w:rPr>
        <w:t>Wasabi S3 ubicado en Ámsterdam + copia fría en nube estadounidense cifrada con clave AES-256 y hash SHA-256.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Frecuencia de Backup: </w:t>
      </w:r>
      <w:r>
        <w:rPr>
          <w:rFonts w:ascii="Calibri" w:hAnsi="Calibri"/>
          <w:sz w:val="20"/>
        </w:rPr>
        <w:t>Snapshots diarios automatizados a las 02:00 UTC y volcado completo semanal los domingos.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Métricas Objetivo de Recuperación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RTO (Recovery Time Objective): </w:t>
      </w:r>
      <w:r>
        <w:rPr>
          <w:rFonts w:ascii="Calibri" w:hAnsi="Calibri"/>
          <w:sz w:val="20"/>
        </w:rPr>
        <w:t>&lt; 4 Horas para restaurar la API y la plataforma web completa en un servidor alternativo.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RPO (Recovery Point Objective): </w:t>
      </w:r>
      <w:r>
        <w:rPr>
          <w:rFonts w:ascii="Calibri" w:hAnsi="Calibri"/>
          <w:sz w:val="20"/>
        </w:rPr>
        <w:t>&lt; 24 Horas de pérdida máxima de datos en caso de catástrofe total.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