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STATER_INV · MANUAL MAESTRO DE INVESTIGACIÓN CIENTÍFICA Y TFM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00. ÍNDICE Y ARQUITECTURA CIENTÍFICA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La Tríada Empírica del TFM: Validación Algorítmica de Estados Financieros, KAM/CAM y CSRD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Misión y Alcance de STATER_INV</w:t>
      </w:r>
    </w:p>
    <w:p>
      <w:pPr>
        <w:spacing w:after="80"/>
      </w:pPr>
      <w:r>
        <w:rPr>
          <w:rFonts w:ascii="Calibri" w:hAnsi="Calibri"/>
          <w:sz w:val="20"/>
        </w:rPr>
        <w:t>STATER_INV constituye el pilar científico, metodológico y de transferencia tecnológica del ecosistema STATER.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Objeto Central de la Investigación: </w:t>
      </w:r>
      <w:r>
        <w:rPr>
          <w:rFonts w:ascii="Calibri" w:hAnsi="Calibri"/>
          <w:sz w:val="20"/>
        </w:rPr>
        <w:t>Validar empíricamente el proceso de ingesta y estructuración algorítmica de estados financieros (ESEF/SEC), cuestiones clave de auditoría (KAM ISA 701 / CAM PCAOB AS 3101) y sostenibilidad (CSRD/ESRS), junto con el estudio de resultados comparados entre los 5 mercados europeos y Estados Unidos.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Estructura de la Tríada de Investigación Empírica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Estudio Empírico / Módulo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Área Científica y Base de Datos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Metodología y Validación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Estudio 1: Auditoría Forense CAM/KAM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Auditoría Financiera (`output_cam_EEUU`)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Regresiones econométricas, Event Studies, DuckDB y semáforo de riesgo.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Estudio 2: Sostenibilidad y Greenwashing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Divulgaciones No Financieras (`output_csrd_impacto EEUU`)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Estudio Canónico v3.0 sobre 3.005 cotizadas, S-Score v2.0 y controversias.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Estudio 3: Laboratorio Cuantitativo SFI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Finanzas Cuantitativas (`output_real_sfi EEUU`)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Modelado de factores (Value/Quality), simulación de carteras y backtest.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Transferencia Tecnológica y Papers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Divulgación Científica y B2B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Working papers para ASEPUC/AECA y Guía de lectura pericial para gestoras.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