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/>
          <w:b/>
          <w:color w:val="0F2043"/>
          <w:sz w:val="38"/>
        </w:rPr>
        <w:t>TRABAJO FIN DE MÁSTER: INFRAESTRUCTURA AUTOMATIZADA DE EXTRACCIÓN, TRAZABILIDAD Y ANÁLISIS COMPARADO TRANSATLÁNTICO</w:t>
      </w:r>
    </w:p>
    <w:p>
      <w:pPr>
        <w:spacing w:after="280"/>
      </w:pPr>
      <w:r>
        <w:rPr>
          <w:rFonts w:ascii="Calibri" w:hAnsi="Calibri"/>
          <w:b/>
          <w:color w:val="646E7D"/>
          <w:sz w:val="19"/>
        </w:rPr>
        <w:t>CATEGORÍA: 01. TFM OFICIAL UMU · 01. MEMORIA INTEGRADA  ·  ECOSISTEMA STATER / ARGOS / LUMINIC / INTRINSIC VALUE</w:t>
        <w:br/>
      </w:r>
      <w:r>
        <w:rPr>
          <w:rFonts w:ascii="Calibri" w:hAnsi="Calibri"/>
          <w:i/>
          <w:color w:val="283246"/>
          <w:sz w:val="22"/>
        </w:rPr>
        <w:t>Máster Universitario en Auditoría de Cuentas · Universidad de Murcia · Validación de 3 Estudios Empíricos</w:t>
      </w:r>
    </w:p>
    <w:p>
      <w:pPr>
        <w:spacing w:after="240"/>
      </w:pPr>
      <w:r>
        <w:rPr>
          <w:color w:val="B4BECD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240" w:after="80"/>
      </w:pPr>
      <w:r>
        <w:rPr>
          <w:rFonts w:ascii="Calibri" w:hAnsi="Calibri"/>
          <w:b/>
          <w:color w:val="142D5A"/>
          <w:sz w:val="26"/>
        </w:rPr>
        <w:t>1. Resumen y Objeto Central de la Tesis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 xml:space="preserve">Objetivo Principal: </w:t>
      </w:r>
      <w:r>
        <w:rPr>
          <w:rFonts w:ascii="Calibri" w:hAnsi="Calibri"/>
          <w:sz w:val="20"/>
        </w:rPr>
        <w:t>Validar el proceso de ingesta y estructuración algorítmica de estados financieros (ESEF/SEC), cuestiones de auditoría (KAM/CAM) y sostenibilidad (CSRD), analizando los resultados empíricos en Europa (5 países) y EE.UU.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 xml:space="preserve">Comunión de los 3 Estudios: </w:t>
      </w:r>
      <w:r>
        <w:rPr>
          <w:rFonts w:ascii="Calibri" w:hAnsi="Calibri"/>
          <w:sz w:val="20"/>
        </w:rPr>
        <w:t>La tesis articula: 1) El impacto bursátil de los riesgos de auditoría (CAM/KAM), 2) La desconexión entre el discurso ESG y las sanciones regulatorias reales (Greenwashing), y 3) La construcción de factores cuantitativos reproducibles en SFI Lab.</w:t>
      </w:r>
    </w:p>
    <w:p>
      <w:pPr>
        <w:spacing w:before="240" w:after="80"/>
      </w:pPr>
      <w:r>
        <w:rPr>
          <w:rFonts w:ascii="Calibri" w:hAnsi="Calibri"/>
          <w:b/>
          <w:color w:val="142D5A"/>
          <w:sz w:val="26"/>
        </w:rPr>
        <w:t>2. Estructura de Capítulos Académicos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 xml:space="preserve">Capítulo 1: </w:t>
      </w:r>
      <w:r>
        <w:rPr>
          <w:rFonts w:ascii="Calibri" w:hAnsi="Calibri"/>
          <w:sz w:val="20"/>
        </w:rPr>
        <w:t>Marco Teórico: De NFRD a CSRD, ISA 701 vs. PCAOB AS 3101 y mandato iXBRL.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 xml:space="preserve">Capítulo 2: </w:t>
      </w:r>
      <w:r>
        <w:rPr>
          <w:rFonts w:ascii="Calibri" w:hAnsi="Calibri"/>
          <w:sz w:val="20"/>
        </w:rPr>
        <w:t>Diagnóstico Empírico: Asimetría informativa entre OAMs europeos y SEC EDGAR.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 xml:space="preserve">Capítulo 3: </w:t>
      </w:r>
      <w:r>
        <w:rPr>
          <w:rFonts w:ascii="Calibri" w:hAnsi="Calibri"/>
          <w:sz w:val="20"/>
        </w:rPr>
        <w:t>Metodología y Pipeline Técnico: Ingesta determinista, motor NLP y cadena SHA-256.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 xml:space="preserve">Capítulo 4: </w:t>
      </w:r>
      <w:r>
        <w:rPr>
          <w:rFonts w:ascii="Calibri" w:hAnsi="Calibri"/>
          <w:sz w:val="20"/>
        </w:rPr>
        <w:t>Resultados de la Tríada Empírica: Análisis comparativo transatlántico.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 xml:space="preserve">Capítulo 5: </w:t>
      </w:r>
      <w:r>
        <w:rPr>
          <w:rFonts w:ascii="Calibri" w:hAnsi="Calibri"/>
          <w:sz w:val="20"/>
        </w:rPr>
        <w:t>Implicaciones para la Profesión de Auditoría y el futuro de ESAP.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 xml:space="preserve">Capítulo 6: </w:t>
      </w:r>
      <w:r>
        <w:rPr>
          <w:rFonts w:ascii="Calibri" w:hAnsi="Calibri"/>
          <w:sz w:val="20"/>
        </w:rPr>
        <w:t>Conclusiones y Recomendaciones Metodológicas.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