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0F2043"/>
          <w:sz w:val="38"/>
        </w:rPr>
        <w:t>ARGUMENTARIO Y GUION PERICIAL PARA LA DEFENSA ANTE EL TRIBUNAL</w:t>
      </w:r>
    </w:p>
    <w:p>
      <w:pPr>
        <w:spacing w:after="280"/>
      </w:pPr>
      <w:r>
        <w:rPr>
          <w:rFonts w:ascii="Calibri" w:hAnsi="Calibri"/>
          <w:b/>
          <w:color w:val="646E7D"/>
          <w:sz w:val="19"/>
        </w:rPr>
        <w:t>CATEGORÍA: 01. TFM OFICIAL UMU · 03. DEFENSA TRIBUNAL  ·  ECOSISTEMA STATER / ARGOS / LUMINIC / INTRINSIC VALUE</w:t>
        <w:br/>
      </w:r>
      <w:r>
        <w:rPr>
          <w:rFonts w:ascii="Calibri" w:hAnsi="Calibri"/>
          <w:i/>
          <w:color w:val="283246"/>
          <w:sz w:val="22"/>
        </w:rPr>
        <w:t>Validación Metodológica, Rigor Econométrico y Respuestas a Preguntas Críticas</w:t>
      </w:r>
    </w:p>
    <w:p>
      <w:pPr>
        <w:spacing w:after="240"/>
      </w:pPr>
      <w:r>
        <w:rPr>
          <w:color w:val="B4BECD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1. Puntos Clave de la Exposición Académica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Rigor en la Muestra: </w:t>
      </w:r>
      <w:r>
        <w:rPr>
          <w:rFonts w:ascii="Calibri" w:hAnsi="Calibri"/>
          <w:sz w:val="20"/>
        </w:rPr>
        <w:t>Muestra transatlántica representativa de más de 3.000 cotizadas procesadas de forma determinista.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Superación de la Caja Negra: </w:t>
      </w:r>
      <w:r>
        <w:rPr>
          <w:rFonts w:ascii="Calibri" w:hAnsi="Calibri"/>
          <w:sz w:val="20"/>
        </w:rPr>
        <w:t>Demostración de que el pipeline de STATER es 100% reproducible y auditable mediante hashes SHA-256.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