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1: RESULTADOS EMPÍRICOS SOBRE REACCIÓN DE MERCADO Y RIESGO CONTABLE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ESTUDIO 1: AUDITORÍA FORENSE · 03. RESULTADOS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Conclusiones Econométricas de la Muestra Transatlántica (EE.UU. vs. Europa)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Conclusiones del Estudio 1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Poder Predictivo de los CAMs: </w:t>
      </w:r>
      <w:r>
        <w:rPr>
          <w:rFonts w:ascii="Calibri" w:hAnsi="Calibri"/>
          <w:sz w:val="20"/>
        </w:rPr>
        <w:t>Los CAMs relativos a reconocimiento de ingresos y valoración de intangibles presentan un coeficiente estadísticamente significativo con aumentos en la volatilidad implícita.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Diferencial Transatlántico: </w:t>
      </w:r>
      <w:r>
        <w:rPr>
          <w:rFonts w:ascii="Calibri" w:hAnsi="Calibri"/>
          <w:sz w:val="20"/>
        </w:rPr>
        <w:t>La mayor estandarización de la SEC en EE.UU. permite una extracción más homogénea que la dispersión actual entre los OAMs europeos.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