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ESTUDIO 2: ANÁLISIS CANÓNICO DE SOSTENIBILIDAD Y RECONSTRUCCIÓN DEL S-SCORE v2.0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ESTUDIO 2: SOSTENIBILIDAD · 01. S-SCORE CANÓNICO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Estudio sobre 3.005 Cotizadas en NYSE/NASDAQ · Capital Humano (ESRS S1 vs. SEC Item 101)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Metodología del S-Score v2.0 Propietario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Superación de Ratings Comerciales: </w:t>
      </w:r>
      <w:r>
        <w:rPr>
          <w:rFonts w:ascii="Calibri" w:hAnsi="Calibri"/>
          <w:sz w:val="20"/>
        </w:rPr>
        <w:t>Reconstrucción del pilar social a partir de métricas auditadas de plantilla, rotación, brecha salarial y seguridad laboral, eliminando el sesgo de tamaño corporativo.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Muestra Canónica v3.0: </w:t>
      </w:r>
      <w:r>
        <w:rPr>
          <w:rFonts w:ascii="Calibri" w:hAnsi="Calibri"/>
          <w:sz w:val="20"/>
        </w:rPr>
        <w:t>Análisis sobre 3.005 cotizadas norteamericanas y europeas contrastadas con la suite de 14 tests de consolidación.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