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ESTUDIO 2: RESULTADOS EMPÍRICOS SOBRE NARRATIVA ESG, RENDIMIENTO Y SANCIONES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ESTUDIO 2: SOSTENIBILIDAD · 03. RESULTADOS ESG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Conclusiones Canónicas sobre Rendimiento Operativo y Desconexión de Divulgaciones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Conclusiones del Estudio 2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Rendimiento Operativo (H1): </w:t>
      </w:r>
      <w:r>
        <w:rPr>
          <w:rFonts w:ascii="Calibri" w:hAnsi="Calibri"/>
          <w:sz w:val="20"/>
        </w:rPr>
        <w:t>No existe una correlación positiva automática entre un mayor volumen de páginas ESG y un mayor ROIC.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Valor Predictivo de las Sanciones: </w:t>
      </w:r>
      <w:r>
        <w:rPr>
          <w:rFonts w:ascii="Calibri" w:hAnsi="Calibri"/>
          <w:sz w:val="20"/>
        </w:rPr>
        <w:t>Las controversias regulatorias verificadas son el único predictor fiable de caídas bursátiles por riesgos de sostenibilidad.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