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3: MOTOR DE SIMULACIÓN DE CARTERAS SISTEMÁTICAS Y BACKTESTING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ESTUDIO 3: SFI LAB · 02. BACKTESTING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Parámetros de Rebalanceo, Costes de Transacción, Slippage y Métricas de Riesgo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Especificaciones de Simulación de SFI Lab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Ventana Temporal y Frecuencia: </w:t>
      </w:r>
      <w:r>
        <w:rPr>
          <w:rFonts w:ascii="Calibri" w:hAnsi="Calibri"/>
          <w:sz w:val="20"/>
        </w:rPr>
        <w:t>Series históricas de 10-15 años con rebalanceos trimestrales y anuales.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Métricas de Evaluación: </w:t>
      </w:r>
      <w:r>
        <w:rPr>
          <w:rFonts w:ascii="Calibri" w:hAnsi="Calibri"/>
          <w:sz w:val="20"/>
        </w:rPr>
        <w:t>Sharpe Ratio, Sortino Ratio, Calmar Ratio, Max Drawdown y Value at Risk (VaR 95%).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