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ESTUDIO 3: RESULTADOS EMPÍRICOS SOBRE PRIMAS DE FACTORES CUANTITATIVOS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04. ESTUDIO 3: SFI LAB · 03. RESULTADOS FACTORES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Conclusiones Empíricas del Rendimiento Sistemático Transatlántico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Conclusiones del Estudio 3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Prima de Calidad (Quality Factor): </w:t>
      </w:r>
      <w:r>
        <w:rPr>
          <w:rFonts w:ascii="Calibri" w:hAnsi="Calibri"/>
          <w:sz w:val="20"/>
        </w:rPr>
        <w:t>La combinación de alto ROIC y bajo apalancamiento genera el mejor ratio de rentabilidad/riesgo a largo plazo.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Integración con ARGOS: </w:t>
      </w:r>
      <w:r>
        <w:rPr>
          <w:rFonts w:ascii="Calibri" w:hAnsi="Calibri"/>
          <w:sz w:val="20"/>
        </w:rPr>
        <w:t>Los datasets limpios de ARGOS permiten reproducir estos factores sin el sesgo de supervivencia habitual de otras bases de datos.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