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GUÍA METODOLÓGICA DE LECTURA PERICIAL PARA CLIENTES INSTITUCIONALES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TRANSFERENCIA Y PAPERS · 02. GUÍA B2B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Manual de Interpretación de Datos, Hashes SHA-256 y Modelos para Analistas de Gestoras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Manual de Usuario Institucional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Cómo interpretar el Semáforo de Auditoría: </w:t>
      </w:r>
      <w:r>
        <w:rPr>
          <w:rFonts w:ascii="Calibri" w:hAnsi="Calibri"/>
          <w:sz w:val="20"/>
        </w:rPr>
        <w:t>Guía paso a paso para directores de inversión sobre la severidad de las alertas contables.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Verificación Criptográfica: </w:t>
      </w:r>
      <w:r>
        <w:rPr>
          <w:rFonts w:ascii="Calibri" w:hAnsi="Calibri"/>
          <w:sz w:val="20"/>
        </w:rPr>
        <w:t>Instrucciones para contrastar el hash SHA-256 de cualquier informe o dataset entregado por ARGOS.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