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PROTOCOLO DE CADENA DE CUSTODIA FORENSE Y REPRODUCIBILIDAD (SHA-256)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TRANSFERENCIA Y PAPERS · 03. CADENA DE CUSTODIA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Estándar de Trazabilidad Criptográfica Inmutable de Fuentes Primarias (SEC / OAMs)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Procedimiento de Sellado Digital Inmutable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Sello en Origen: </w:t>
      </w:r>
      <w:r>
        <w:rPr>
          <w:rFonts w:ascii="Calibri" w:hAnsi="Calibri"/>
          <w:sz w:val="20"/>
        </w:rPr>
        <w:t>Cada filing descargado de la CNMV, AMF, BaFin o SEC se sella instantáneamente con su hash SHA-256.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Trazabilidad del Parser: </w:t>
      </w:r>
      <w:r>
        <w:rPr>
          <w:rFonts w:ascii="Calibri" w:hAnsi="Calibri"/>
          <w:sz w:val="20"/>
        </w:rPr>
        <w:t>El log del Data Lake registra el hash de entrada y el hash del dataset transformado, garantizando que ninguna cifra ha sido alterada.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