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B2545"/>
          <w:sz w:val="32"/>
        </w:rPr>
        <w:t>PLANO TÉCNICO Y MOTOR INFORMÁTICO: DATA LAKE COLUMNAR Y ALMACENAMIENTO DISTRIBUIDO (DUCKDB / PARQUET / S3)</w:t>
      </w:r>
    </w:p>
    <w:p>
      <w:pPr>
        <w:spacing w:before="0" w:after="160"/>
      </w:pPr>
      <w:r>
        <w:rPr>
          <w:rFonts w:ascii="Segoe UI" w:hAnsi="Segoe UI"/>
          <w:b/>
          <w:color w:val="134074"/>
          <w:sz w:val="19"/>
        </w:rPr>
        <w:t>ÁREA: INFORMÁTICA · CÓDIGO DE ACTIVO INTANGIBLE: MOD-IT-04 · MÓDULO AUTÓNOMO CERRADO</w:t>
      </w:r>
    </w:p>
    <w:tbl>
      <w:tblPr>
        <w:tblW w:type="auto" w:w="0"/>
        <w:jc w:val="center"/>
        <w:tblLayout w:type="fixed"/>
        <w:tblLook w:firstColumn="1" w:firstRow="1" w:lastColumn="0" w:lastRow="0" w:noHBand="0" w:noVBand="1" w:val="04A0"/>
      </w:tblPr>
      <w:tblGrid>
        <w:gridCol w:w="9461"/>
      </w:tblGrid>
      <w:tr>
        <w:tc>
          <w:tcPr>
            <w:tcW w:type="dxa" w:w="9461"/>
            <w:shd w:fill="F0F4F8"/>
            <w:tcMar>
              <w:top w:w="100" w:type="dxa"/>
              <w:bottom w:w="100" w:type="dxa"/>
              <w:left w:w="160" w:type="dxa"/>
              <w:right w:w="140" w:type="dxa"/>
            </w:tcMar>
            <w:tcBorders>
              <w:top w:val="none" w:sz="24" w:space="0" w:color="134074"/>
              <w:left w:val="single" w:sz="24" w:space="0" w:color="134074"/>
              <w:bottom w:val="none" w:sz="24" w:space="0" w:color="134074"/>
              <w:right w:val="none" w:sz="24" w:space="0" w:color="134074"/>
            </w:tcBorders>
          </w:tcPr>
          <w:p>
            <w:pPr>
              <w:spacing w:after="0" w:before="0" w:line="276" w:lineRule="auto"/>
            </w:pPr>
            <w:r>
              <w:rPr>
                <w:rFonts w:ascii="Segoe UI" w:hAnsi="Segoe UI"/>
                <w:b/>
                <w:color w:val="0B2545"/>
                <w:sz w:val="19"/>
              </w:rPr>
              <w:t>DECLARACIÓN DE AUTONOMÍA DEL MÓDULO</w:t>
              <w:br/>
            </w:r>
            <w:r>
              <w:rPr>
                <w:rFonts w:ascii="Segoe UI" w:hAnsi="Segoe UI"/>
                <w:color w:val="1F2937"/>
                <w:sz w:val="18"/>
              </w:rPr>
              <w:t>Capa central de almacenamiento, consulta vectorial y gobernanza de datos. Combina almacenamiento de objetos compatible con S3 (Wasabi/MinIO), archivos columnares Apache Parquet optimizados con compresión Snappy/ZSTD y el motor de consultas OLAP en memoria DuckDB.</w:t>
            </w:r>
          </w:p>
        </w:tc>
      </w:tr>
    </w:tbl>
    <w:p>
      <w:pPr>
        <w:spacing w:after="60"/>
      </w:pPr>
    </w:p>
    <w:p>
      <w:pPr>
        <w:keepNext/>
        <w:spacing w:before="280" w:after="100"/>
      </w:pPr>
      <w:r>
        <w:rPr>
          <w:rFonts w:ascii="Segoe UI" w:hAnsi="Segoe UI"/>
          <w:b/>
          <w:color w:val="0B2545"/>
          <w:sz w:val="26"/>
        </w:rPr>
        <w:t>1. Definición Funcional y Alcance Técnico</w:t>
      </w:r>
    </w:p>
    <w:p>
      <w:pPr>
        <w:spacing w:after="60" w:before="0" w:line="276" w:lineRule="auto"/>
      </w:pPr>
      <w:r>
        <w:rPr>
          <w:rFonts w:ascii="Segoe UI" w:hAnsi="Segoe UI"/>
          <w:i w:val="0"/>
          <w:color w:val="1F2937"/>
          <w:sz w:val="19"/>
        </w:rPr>
        <w:t>Centraliza la totalidad de los datos estructurados del ecosistema STATER. Permite ejecutar consultas SQL analíticas ultrarrápidas sobre millones de registros contables en fracciones de segundo con un consumo mínimo de memoria RAM y CPU, eliminando la necesidad de servidores de bases de datos pesados.</w:t>
      </w:r>
    </w:p>
    <w:p>
      <w:pPr>
        <w:keepNext/>
        <w:spacing w:before="280" w:after="100"/>
      </w:pPr>
      <w:r>
        <w:rPr>
          <w:rFonts w:ascii="Segoe UI" w:hAnsi="Segoe UI"/>
          <w:b/>
          <w:color w:val="0B2545"/>
          <w:sz w:val="26"/>
        </w:rPr>
        <w:t>2. Entradas (Inputs) y Fuentes Primarias de Datos</w:t>
      </w:r>
    </w:p>
    <w:p>
      <w:pPr>
        <w:pStyle w:val="ListBullet"/>
        <w:spacing w:after="60" w:before="0" w:line="276" w:lineRule="auto"/>
        <w:ind w:left="360"/>
      </w:pPr>
      <w:r>
        <w:rPr>
          <w:rFonts w:ascii="Segoe UI" w:hAnsi="Segoe UI"/>
          <w:b/>
          <w:color w:val="1F2937"/>
          <w:sz w:val="19"/>
        </w:rPr>
        <w:t xml:space="preserve">• Tablas Normalizadas del MOD-IT-02: </w:t>
      </w:r>
      <w:r>
        <w:rPr>
          <w:rFonts w:ascii="Segoe UI" w:hAnsi="Segoe UI"/>
          <w:color w:val="1F2937"/>
          <w:sz w:val="19"/>
        </w:rPr>
        <w:t>Estados financieros numéricos.</w:t>
      </w:r>
    </w:p>
    <w:p>
      <w:pPr>
        <w:pStyle w:val="ListBullet"/>
        <w:spacing w:after="60" w:before="0" w:line="276" w:lineRule="auto"/>
        <w:ind w:left="360"/>
      </w:pPr>
      <w:r>
        <w:rPr>
          <w:rFonts w:ascii="Segoe UI" w:hAnsi="Segoe UI"/>
          <w:b/>
          <w:color w:val="1F2937"/>
          <w:sz w:val="19"/>
        </w:rPr>
        <w:t xml:space="preserve">• Metadatos y KAMs del MOD-IT-03: </w:t>
      </w:r>
      <w:r>
        <w:rPr>
          <w:rFonts w:ascii="Segoe UI" w:hAnsi="Segoe UI"/>
          <w:color w:val="1F2937"/>
          <w:sz w:val="19"/>
        </w:rPr>
        <w:t>Clasificaciones semánticas y textos de auditoría.</w:t>
      </w:r>
    </w:p>
    <w:p>
      <w:pPr>
        <w:pStyle w:val="ListBullet"/>
        <w:spacing w:after="60" w:before="0" w:line="276" w:lineRule="auto"/>
        <w:ind w:left="360"/>
      </w:pPr>
      <w:r>
        <w:rPr>
          <w:rFonts w:ascii="Segoe UI" w:hAnsi="Segoe UI"/>
          <w:b/>
          <w:color w:val="1F2937"/>
          <w:sz w:val="19"/>
        </w:rPr>
        <w:t xml:space="preserve">• Cotizaciones Históricas Ajustadas: </w:t>
      </w:r>
      <w:r>
        <w:rPr>
          <w:rFonts w:ascii="Segoe UI" w:hAnsi="Segoe UI"/>
          <w:color w:val="1F2937"/>
          <w:sz w:val="19"/>
        </w:rPr>
        <w:t>Precios y dividendos para backtesting.</w:t>
      </w:r>
    </w:p>
    <w:p>
      <w:pPr>
        <w:keepNext/>
        <w:spacing w:before="280" w:after="100"/>
      </w:pPr>
      <w:r>
        <w:rPr>
          <w:rFonts w:ascii="Segoe UI" w:hAnsi="Segoe UI"/>
          <w:b/>
          <w:color w:val="0B2545"/>
          <w:sz w:val="26"/>
        </w:rPr>
        <w:t>3. Componentes Internos y Motor de Procesamiento</w:t>
      </w:r>
    </w:p>
    <w:p>
      <w:pPr>
        <w:pStyle w:val="ListBullet"/>
        <w:spacing w:after="60" w:before="0" w:line="276" w:lineRule="auto"/>
        <w:ind w:left="360"/>
      </w:pPr>
      <w:r>
        <w:rPr>
          <w:rFonts w:ascii="Segoe UI" w:hAnsi="Segoe UI"/>
          <w:b/>
          <w:color w:val="1F2937"/>
          <w:sz w:val="19"/>
        </w:rPr>
        <w:t xml:space="preserve">• Almacenamiento en Objetos MinIO / S3: </w:t>
      </w:r>
      <w:r>
        <w:rPr>
          <w:rFonts w:ascii="Segoe UI" w:hAnsi="Segoe UI"/>
          <w:color w:val="1F2937"/>
          <w:sz w:val="19"/>
        </w:rPr>
        <w:t>Persistencia segura y versionada de datasets crudos y optimizados.</w:t>
      </w:r>
    </w:p>
    <w:p>
      <w:pPr>
        <w:pStyle w:val="ListBullet"/>
        <w:spacing w:after="60" w:before="0" w:line="276" w:lineRule="auto"/>
        <w:ind w:left="360"/>
      </w:pPr>
      <w:r>
        <w:rPr>
          <w:rFonts w:ascii="Segoe UI" w:hAnsi="Segoe UI"/>
          <w:b/>
          <w:color w:val="1F2937"/>
          <w:sz w:val="19"/>
        </w:rPr>
        <w:t xml:space="preserve">• Motor de Consultas DuckDB: </w:t>
      </w:r>
      <w:r>
        <w:rPr>
          <w:rFonts w:ascii="Segoe UI" w:hAnsi="Segoe UI"/>
          <w:color w:val="1F2937"/>
          <w:sz w:val="19"/>
        </w:rPr>
        <w:t>Ejecución de SQL analítico directo sobre archivos Parquet sin intermediarios.</w:t>
      </w:r>
    </w:p>
    <w:p>
      <w:pPr>
        <w:pStyle w:val="ListBullet"/>
        <w:spacing w:after="60" w:before="0" w:line="276" w:lineRule="auto"/>
        <w:ind w:left="360"/>
      </w:pPr>
      <w:r>
        <w:rPr>
          <w:rFonts w:ascii="Segoe UI" w:hAnsi="Segoe UI"/>
          <w:b/>
          <w:color w:val="1F2937"/>
          <w:sz w:val="19"/>
        </w:rPr>
        <w:t xml:space="preserve">• Módulo de Particionado y Optimización: </w:t>
      </w:r>
      <w:r>
        <w:rPr>
          <w:rFonts w:ascii="Segoe UI" w:hAnsi="Segoe UI"/>
          <w:color w:val="1F2937"/>
          <w:sz w:val="19"/>
        </w:rPr>
        <w:t>Estructuración de datos por `pais/sector/año` para lecturas ultrarrápidas.</w:t>
      </w:r>
    </w:p>
    <w:p>
      <w:pPr>
        <w:keepNext/>
        <w:spacing w:before="280" w:after="100"/>
      </w:pPr>
      <w:r>
        <w:rPr>
          <w:rFonts w:ascii="Segoe UI" w:hAnsi="Segoe UI"/>
          <w:b/>
          <w:color w:val="0B2545"/>
          <w:sz w:val="26"/>
        </w:rPr>
        <w:t>4. Salidas (Outputs) y Entregables Hacia el Ecosistema</w:t>
      </w:r>
    </w:p>
    <w:p>
      <w:pPr>
        <w:pStyle w:val="ListBullet"/>
        <w:spacing w:after="60" w:before="0" w:line="276" w:lineRule="auto"/>
        <w:ind w:left="360"/>
      </w:pPr>
      <w:r>
        <w:rPr>
          <w:rFonts w:ascii="Segoe UI" w:hAnsi="Segoe UI"/>
          <w:b/>
          <w:color w:val="1F2937"/>
          <w:sz w:val="19"/>
        </w:rPr>
        <w:t xml:space="preserve">• Vistas SQL Analíticas: </w:t>
      </w:r>
      <w:r>
        <w:rPr>
          <w:rFonts w:ascii="Segoe UI" w:hAnsi="Segoe UI"/>
          <w:color w:val="1F2937"/>
          <w:sz w:val="19"/>
        </w:rPr>
        <w:t>Acceso directo para los endpoints de la API REST (MOD-IT-06).</w:t>
      </w:r>
    </w:p>
    <w:p>
      <w:pPr>
        <w:pStyle w:val="ListBullet"/>
        <w:spacing w:after="60" w:before="0" w:line="276" w:lineRule="auto"/>
        <w:ind w:left="360"/>
      </w:pPr>
      <w:r>
        <w:rPr>
          <w:rFonts w:ascii="Segoe UI" w:hAnsi="Segoe UI"/>
          <w:b/>
          <w:color w:val="1F2937"/>
          <w:sz w:val="19"/>
        </w:rPr>
        <w:t xml:space="preserve">• Snapshots y Dumps Masivos Parquet: </w:t>
      </w:r>
      <w:r>
        <w:rPr>
          <w:rFonts w:ascii="Segoe UI" w:hAnsi="Segoe UI"/>
          <w:color w:val="1F2937"/>
          <w:sz w:val="19"/>
        </w:rPr>
        <w:t>Para clientes Enterprise Bulk (PROD-07).</w:t>
      </w:r>
    </w:p>
    <w:p>
      <w:pPr>
        <w:keepNext/>
        <w:spacing w:before="280" w:after="100"/>
      </w:pPr>
      <w:r>
        <w:rPr>
          <w:rFonts w:ascii="Segoe UI" w:hAnsi="Segoe UI"/>
          <w:b/>
          <w:color w:val="0B2545"/>
          <w:sz w:val="26"/>
        </w:rPr>
        <w:t>5. Correlación y Retroalimentación con Otros Módulos</w:t>
      </w:r>
    </w:p>
    <w:p>
      <w:pPr>
        <w:spacing w:after="60" w:before="0" w:line="276" w:lineRule="auto"/>
      </w:pPr>
      <w:r>
        <w:rPr>
          <w:rFonts w:ascii="Segoe UI" w:hAnsi="Segoe UI"/>
          <w:i w:val="0"/>
          <w:color w:val="1F2937"/>
          <w:sz w:val="19"/>
        </w:rPr>
        <w:t>Es el corazón de persistencia del sistema. Recibe de los módulos 01, 02 y 03, y suministra datos a los módulos 05, 06 y 07.</w:t>
      </w:r>
    </w:p>
    <w:sectPr w:rsidR="00FC693F" w:rsidRPr="0006063C" w:rsidSect="00034616">
      <w:headerReference w:type="default" r:id="rId9"/>
      <w:footerReference w:type="default" r:id="rId10"/>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78909C"/>
        <w:sz w:val="16"/>
      </w:rPr>
      <w:t>STATER, S.L. · Arquitectura Técnica y Motor Autónomo · ID: MOD-IT-04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909C"/>
        <w:sz w:val="16"/>
      </w:rPr>
      <w:t>STATER IT · ACTIVOS INTANGIBLES · [INFORMÁTICA] DATA LAKE COLUMNAR Y ALMACENAMIENTO DISTRIBUIDO (DUCKDB / PARQUET / S3)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