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API GATEWAY &amp; INFRAESTRUCTURA DE DISTRIBUCIÓN COMERCIAL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INFORMÁTICA · CÓDIGO DE ACTIVO INTANGIBLE: MOD-IT-06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Pasarela de distribución de datos de alta velocidad construida con FastAPI y Caddy/Nginx. Gestiona el enrutamiento de peticiones, autenticación por API Keys, control de cuotas (*rate-limiting*), facturación automatizada y firma digital de respuestas con hash SHA-256.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Punto de entrada único y seguro para todos los clientes que consumen la API de ARGOS (B2B Institucional y STATER Pro). Valida las credenciales del cliente, consulta el Data Lake (MOD-IT-04) mediante vistas cacheadas en Redis y devuelve payloads en JSON o binario Parquet con latencia inferior a 80 milisegundos.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Peticiones HTTP/REST de Clientes: </w:t>
      </w:r>
      <w:r>
        <w:rPr>
          <w:rFonts w:ascii="Segoe UI" w:hAnsi="Segoe UI"/>
          <w:color w:val="1F2937"/>
          <w:sz w:val="19"/>
        </w:rPr>
        <w:t>Consultas de balances, screener, KAMs y ratios.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Base de Datos de Clientes y Planes: </w:t>
      </w:r>
      <w:r>
        <w:rPr>
          <w:rFonts w:ascii="Segoe UI" w:hAnsi="Segoe UI"/>
          <w:color w:val="1F2937"/>
          <w:sz w:val="19"/>
        </w:rPr>
        <w:t>Límites de llamadas, suscripciones activas y tokens de acceso.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Servidor FastAPI Asíncrono: </w:t>
      </w:r>
      <w:r>
        <w:rPr>
          <w:rFonts w:ascii="Segoe UI" w:hAnsi="Segoe UI"/>
          <w:color w:val="1F2937"/>
          <w:sz w:val="19"/>
        </w:rPr>
        <w:t>Endpoints optimizados con serialización rápida mediante Pydantic v2.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Middleware de Rate Limiting y Cuotas (Redis): </w:t>
      </w:r>
      <w:r>
        <w:rPr>
          <w:rFonts w:ascii="Segoe UI" w:hAnsi="Segoe UI"/>
          <w:color w:val="1F2937"/>
          <w:sz w:val="19"/>
        </w:rPr>
        <w:t>Control estricto de llamadas por minuto y mes según el plan del usuario.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Módulo de Sellado Criptográfico SHA-256: </w:t>
      </w:r>
      <w:r>
        <w:rPr>
          <w:rFonts w:ascii="Segoe UI" w:hAnsi="Segoe UI"/>
          <w:color w:val="1F2937"/>
          <w:sz w:val="19"/>
        </w:rPr>
        <w:t>Inyección del hash de autenticidad en las cabeceras HTTP de respuesta.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Respuestas JSON / Parquet Estandarizadas: </w:t>
      </w:r>
      <w:r>
        <w:rPr>
          <w:rFonts w:ascii="Segoe UI" w:hAnsi="Segoe UI"/>
          <w:color w:val="1F2937"/>
          <w:sz w:val="19"/>
        </w:rPr>
        <w:t>Datos normalizados servidos a clientes externos.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Logs de Auditoría y Facturación: </w:t>
      </w:r>
      <w:r>
        <w:rPr>
          <w:rFonts w:ascii="Segoe UI" w:hAnsi="Segoe UI"/>
          <w:color w:val="1F2937"/>
          <w:sz w:val="19"/>
        </w:rPr>
        <w:t>Registro de uso para facturación automática vía Stripe.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Conecta el Data Lake (MOD-IT-04) con el exterior y da servicio a los productos PROD-05, PROD-06 y a la Plataforma Web.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MOD-IT-06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[INFORMÁTICA] API GATEWAY &amp; INFRAESTRUCTURA DE DISTRIBUCIÓN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