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Segoe UI" w:hAnsi="Segoe UI"/>
          <w:b/>
          <w:color w:val="0B2545"/>
          <w:sz w:val="32"/>
        </w:rPr>
        <w:t>PLANO TÉCNICO Y MOTOR INFORMÁTICO: MÓDULO FORMATIVO C1: FINANZAS Y CONTABILIDAD FUNDACIONAL</w:t>
      </w:r>
    </w:p>
    <w:p>
      <w:pPr>
        <w:spacing w:before="0" w:after="160"/>
      </w:pPr>
      <w:r>
        <w:rPr>
          <w:rFonts w:ascii="Segoe UI" w:hAnsi="Segoe UI"/>
          <w:b/>
          <w:color w:val="134074"/>
          <w:sz w:val="19"/>
        </w:rPr>
        <w:t>ÁREA: FORMACIÓN · CÓDIGO DE ACTIVO INTANGIBLE: MOD-FOR-02 · MÓDULO AUTÓNOMO CERRADO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61"/>
      </w:tblGrid>
      <w:tr>
        <w:tc>
          <w:tcPr>
            <w:tcW w:type="dxa" w:w="9461"/>
            <w:shd w:fill="F0F4F8"/>
            <w:tcMar>
              <w:top w:w="100" w:type="dxa"/>
              <w:bottom w:w="100" w:type="dxa"/>
              <w:left w:w="160" w:type="dxa"/>
              <w:right w:w="140" w:type="dxa"/>
            </w:tcMar>
            <w:tcBorders>
              <w:top w:val="none" w:sz="24" w:space="0" w:color="134074"/>
              <w:left w:val="single" w:sz="24" w:space="0" w:color="134074"/>
              <w:bottom w:val="none" w:sz="24" w:space="0" w:color="134074"/>
              <w:right w:val="none" w:sz="24" w:space="0" w:color="134074"/>
            </w:tcBorders>
          </w:tcPr>
          <w:p>
            <w:pPr>
              <w:spacing w:after="0" w:before="0" w:line="276" w:lineRule="auto"/>
            </w:pPr>
            <w:r>
              <w:rPr>
                <w:rFonts w:ascii="Segoe UI" w:hAnsi="Segoe UI"/>
                <w:b/>
                <w:color w:val="0B2545"/>
                <w:sz w:val="19"/>
              </w:rPr>
              <w:t>DECLARACIÓN DE AUTONOMÍA DEL MÓDULO</w:t>
              <w:br/>
            </w:r>
            <w:r>
              <w:rPr>
                <w:rFonts w:ascii="Segoe UI" w:hAnsi="Segoe UI"/>
                <w:color w:val="1F2937"/>
                <w:sz w:val="18"/>
              </w:rPr>
              <w:t>Compendio didáctico completo estructurado en 6 unidades temáticas, 24 lecciones interactivas, 100 preguntas de autoevaluación y 5 casos prácticos guiados sobre estados financieros reales.</w:t>
            </w:r>
          </w:p>
        </w:tc>
      </w:tr>
    </w:tbl>
    <w:p>
      <w:pPr>
        <w:spacing w:after="60"/>
      </w:pPr>
    </w:p>
    <w:p>
      <w:pPr>
        <w:keepNext/>
        <w:spacing w:before="280" w:after="100"/>
      </w:pPr>
      <w:r>
        <w:rPr>
          <w:rFonts w:ascii="Segoe UI" w:hAnsi="Segoe UI"/>
          <w:b/>
          <w:color w:val="0B2545"/>
          <w:sz w:val="26"/>
        </w:rPr>
        <w:t>1. Definición Funcional y Alcance Técnico</w:t>
      </w:r>
    </w:p>
    <w:p>
      <w:pPr>
        <w:spacing w:after="60" w:before="0" w:line="276" w:lineRule="auto"/>
      </w:pPr>
      <w:r>
        <w:rPr>
          <w:rFonts w:ascii="Segoe UI" w:hAnsi="Segoe UI"/>
          <w:i w:val="0"/>
          <w:color w:val="1F2937"/>
          <w:sz w:val="19"/>
        </w:rPr>
        <w:t>Desarrolla los fundamentos de la contabilidad empresarial: estructura del balance de situación, cuenta de pérdidas y ganancias, estado de flujos de efectivo, cálculo de fondo de maniobra y análisis de solvencia y liquidez.</w:t>
      </w:r>
    </w:p>
    <w:p>
      <w:pPr>
        <w:keepNext/>
        <w:spacing w:before="280" w:after="100"/>
      </w:pPr>
      <w:r>
        <w:rPr>
          <w:rFonts w:ascii="Segoe UI" w:hAnsi="Segoe UI"/>
          <w:b/>
          <w:color w:val="0B2545"/>
          <w:sz w:val="26"/>
        </w:rPr>
        <w:t>2. Entradas (Inputs) y Fuentes Primarias de Datos</w:t>
      </w:r>
    </w:p>
    <w:p>
      <w:pPr>
        <w:pStyle w:val="ListBullet"/>
        <w:spacing w:after="60" w:before="0" w:line="276" w:lineRule="auto"/>
        <w:ind w:left="360"/>
      </w:pPr>
      <w:r>
        <w:rPr>
          <w:rFonts w:ascii="Segoe UI" w:hAnsi="Segoe UI"/>
          <w:b/>
          <w:color w:val="1F2937"/>
          <w:sz w:val="19"/>
        </w:rPr>
        <w:t xml:space="preserve">• Normativa Contable NIIF / PGC: </w:t>
      </w:r>
      <w:r>
        <w:rPr>
          <w:rFonts w:ascii="Segoe UI" w:hAnsi="Segoe UI"/>
          <w:color w:val="1F2937"/>
          <w:sz w:val="19"/>
        </w:rPr>
        <w:t>Principios contables oficiales y definiciones de masas patrimoniales.</w:t>
      </w:r>
    </w:p>
    <w:p>
      <w:pPr>
        <w:pStyle w:val="ListBullet"/>
        <w:spacing w:after="60" w:before="0" w:line="276" w:lineRule="auto"/>
        <w:ind w:left="360"/>
      </w:pPr>
      <w:r>
        <w:rPr>
          <w:rFonts w:ascii="Segoe UI" w:hAnsi="Segoe UI"/>
          <w:b/>
          <w:color w:val="1F2937"/>
          <w:sz w:val="19"/>
        </w:rPr>
        <w:t xml:space="preserve">• Balances Reales de Pymes y Cotizadas: </w:t>
      </w:r>
      <w:r>
        <w:rPr>
          <w:rFonts w:ascii="Segoe UI" w:hAnsi="Segoe UI"/>
          <w:color w:val="1F2937"/>
          <w:sz w:val="19"/>
        </w:rPr>
        <w:t>Ejemplos reales de la base de datos de ARGOS.</w:t>
      </w:r>
    </w:p>
    <w:p>
      <w:pPr>
        <w:keepNext/>
        <w:spacing w:before="280" w:after="100"/>
      </w:pPr>
      <w:r>
        <w:rPr>
          <w:rFonts w:ascii="Segoe UI" w:hAnsi="Segoe UI"/>
          <w:b/>
          <w:color w:val="0B2545"/>
          <w:sz w:val="26"/>
        </w:rPr>
        <w:t>3. Componentes Internos y Motor de Procesamiento</w:t>
      </w:r>
    </w:p>
    <w:p>
      <w:pPr>
        <w:pStyle w:val="ListBullet"/>
        <w:spacing w:after="60" w:before="0" w:line="276" w:lineRule="auto"/>
        <w:ind w:left="360"/>
      </w:pPr>
      <w:r>
        <w:rPr>
          <w:rFonts w:ascii="Segoe UI" w:hAnsi="Segoe UI"/>
          <w:b/>
          <w:color w:val="1F2937"/>
          <w:sz w:val="19"/>
        </w:rPr>
        <w:t xml:space="preserve">• Guiones Pedagógicos y Textos Didácticos: </w:t>
      </w:r>
      <w:r>
        <w:rPr>
          <w:rFonts w:ascii="Segoe UI" w:hAnsi="Segoe UI"/>
          <w:color w:val="1F2937"/>
          <w:sz w:val="19"/>
        </w:rPr>
        <w:t>Redacción clara, rigurosa y libre de jerga bancaria innecesaria.</w:t>
      </w:r>
    </w:p>
    <w:p>
      <w:pPr>
        <w:pStyle w:val="ListBullet"/>
        <w:spacing w:after="60" w:before="0" w:line="276" w:lineRule="auto"/>
        <w:ind w:left="360"/>
      </w:pPr>
      <w:r>
        <w:rPr>
          <w:rFonts w:ascii="Segoe UI" w:hAnsi="Segoe UI"/>
          <w:b/>
          <w:color w:val="1F2937"/>
          <w:sz w:val="19"/>
        </w:rPr>
        <w:t xml:space="preserve">• Banco de Preguntas Interactivas: </w:t>
      </w:r>
      <w:r>
        <w:rPr>
          <w:rFonts w:ascii="Segoe UI" w:hAnsi="Segoe UI"/>
          <w:color w:val="1F2937"/>
          <w:sz w:val="19"/>
        </w:rPr>
        <w:t>Ejercicios de opción múltiple con explicación detallada.</w:t>
      </w:r>
    </w:p>
    <w:p>
      <w:pPr>
        <w:pStyle w:val="ListBullet"/>
        <w:spacing w:after="60" w:before="0" w:line="276" w:lineRule="auto"/>
        <w:ind w:left="360"/>
      </w:pPr>
      <w:r>
        <w:rPr>
          <w:rFonts w:ascii="Segoe UI" w:hAnsi="Segoe UI"/>
          <w:b/>
          <w:color w:val="1F2937"/>
          <w:sz w:val="19"/>
        </w:rPr>
        <w:t xml:space="preserve">• Casos de Estudio Guiados: </w:t>
      </w:r>
      <w:r>
        <w:rPr>
          <w:rFonts w:ascii="Segoe UI" w:hAnsi="Segoe UI"/>
          <w:color w:val="1F2937"/>
          <w:sz w:val="19"/>
        </w:rPr>
        <w:t>Análisis paso a paso de empresas conocidas (ej. Inditex, L'Oréal).</w:t>
      </w:r>
    </w:p>
    <w:p>
      <w:pPr>
        <w:keepNext/>
        <w:spacing w:before="280" w:after="100"/>
      </w:pPr>
      <w:r>
        <w:rPr>
          <w:rFonts w:ascii="Segoe UI" w:hAnsi="Segoe UI"/>
          <w:b/>
          <w:color w:val="0B2545"/>
          <w:sz w:val="26"/>
        </w:rPr>
        <w:t>4. Salidas (Outputs) y Entregables Hacia el Ecosistema</w:t>
      </w:r>
    </w:p>
    <w:p>
      <w:pPr>
        <w:pStyle w:val="ListBullet"/>
        <w:spacing w:after="60" w:before="0" w:line="276" w:lineRule="auto"/>
        <w:ind w:left="360"/>
      </w:pPr>
      <w:r>
        <w:rPr>
          <w:rFonts w:ascii="Segoe UI" w:hAnsi="Segoe UI"/>
          <w:b/>
          <w:color w:val="1F2937"/>
          <w:sz w:val="19"/>
        </w:rPr>
        <w:t xml:space="preserve">• Paquete de Contenido para el Campus Desktop: </w:t>
      </w:r>
      <w:r>
        <w:rPr>
          <w:rFonts w:ascii="Segoe UI" w:hAnsi="Segoe UI"/>
          <w:color w:val="1F2937"/>
          <w:sz w:val="19"/>
        </w:rPr>
        <w:t>Archivos listos para su visualización en MOD-FOR-01.</w:t>
      </w:r>
    </w:p>
    <w:p>
      <w:pPr>
        <w:keepNext/>
        <w:spacing w:before="280" w:after="100"/>
      </w:pPr>
      <w:r>
        <w:rPr>
          <w:rFonts w:ascii="Segoe UI" w:hAnsi="Segoe UI"/>
          <w:b/>
          <w:color w:val="0B2545"/>
          <w:sz w:val="26"/>
        </w:rPr>
        <w:t>5. Correlación y Retroalimentación con Otros Módulos</w:t>
      </w:r>
    </w:p>
    <w:p>
      <w:pPr>
        <w:spacing w:after="60" w:before="0" w:line="276" w:lineRule="auto"/>
      </w:pPr>
      <w:r>
        <w:rPr>
          <w:rFonts w:ascii="Segoe UI" w:hAnsi="Segoe UI"/>
          <w:i w:val="0"/>
          <w:color w:val="1F2937"/>
          <w:sz w:val="19"/>
        </w:rPr>
        <w:t>Se empaqueta dentro del MOD-FOR-01 y nutre al producto gratuito PROD-02.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1224" w:right="1224" w:bottom="1224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Segoe UI" w:hAnsi="Segoe UI"/>
        <w:color w:val="78909C"/>
        <w:sz w:val="16"/>
      </w:rPr>
      <w:t>STATER, S.L. · Arquitectura Técnica y Motor Autónomo · ID: MOD-FOR-02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Segoe UI" w:hAnsi="Segoe UI"/>
        <w:color w:val="78909C"/>
        <w:sz w:val="16"/>
      </w:rPr>
      <w:t>STATER IT · ACTIVOS INTANGIBLES · [FORMACIÓN] MÓDULO FORMATIVO C1: FINANZAS Y CONTABILIDAD FUNDACIONAL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