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0B2545"/>
          <w:sz w:val="32"/>
        </w:rPr>
        <w:t>PLANO TÉCNICO Y MOTOR INFORMÁTICO: MÓDULO FORMATIVO C3: ANÁLISIS FUNDAMENTAL AVANZADO Y MODELADO</w:t>
      </w:r>
    </w:p>
    <w:p>
      <w:pPr>
        <w:spacing w:before="0" w:after="160"/>
      </w:pPr>
      <w:r>
        <w:rPr>
          <w:rFonts w:ascii="Segoe UI" w:hAnsi="Segoe UI"/>
          <w:b/>
          <w:color w:val="134074"/>
          <w:sz w:val="19"/>
        </w:rPr>
        <w:t>ÁREA: FORMACIÓN · CÓDIGO DE ACTIVO INTANGIBLE: MOD-FOR-04 · MÓDULO AUTÓNOMO CERRADO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0F4F8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top w:val="none" w:sz="24" w:space="0" w:color="134074"/>
              <w:left w:val="single" w:sz="24" w:space="0" w:color="134074"/>
              <w:bottom w:val="none" w:sz="24" w:space="0" w:color="134074"/>
              <w:right w:val="none" w:sz="24" w:space="0" w:color="134074"/>
            </w:tcBorders>
          </w:tcPr>
          <w:p>
            <w:pPr>
              <w:spacing w:after="0" w:before="0" w:line="276" w:lineRule="auto"/>
            </w:pPr>
            <w:r>
              <w:rPr>
                <w:rFonts w:ascii="Segoe UI" w:hAnsi="Segoe UI"/>
                <w:b/>
                <w:color w:val="0B2545"/>
                <w:sz w:val="19"/>
              </w:rPr>
              <w:t>DECLARACIÓN DE AUTONOMÍA DEL MÓDULO</w:t>
              <w:br/>
            </w:r>
            <w:r>
              <w:rPr>
                <w:rFonts w:ascii="Segoe UI" w:hAnsi="Segoe UI"/>
                <w:color w:val="1F2937"/>
                <w:sz w:val="18"/>
              </w:rPr>
              <w:t>Programa de especialización profesional estructurado en 8 unidades temáticas, 20 modelos de valoración editables, 12 casos de auditoría forense y simuladores de sensibilidad de tipos.</w:t>
            </w:r>
          </w:p>
        </w:tc>
      </w:tr>
    </w:tbl>
    <w:p>
      <w:pPr>
        <w:spacing w:after="60"/>
      </w:pP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1. Definición Funcional y Alcance Técnico</w:t>
      </w:r>
    </w:p>
    <w:p>
      <w:pPr>
        <w:spacing w:after="60" w:before="0" w:line="276" w:lineRule="auto"/>
      </w:pPr>
      <w:r>
        <w:rPr>
          <w:rFonts w:ascii="Segoe UI" w:hAnsi="Segoe UI"/>
          <w:i w:val="0"/>
          <w:color w:val="1F2937"/>
          <w:sz w:val="19"/>
        </w:rPr>
        <w:t>Profundiza en la valoración rigurosa de empresas: modelos de descuento de flujos de caja libre (FCFF/FCFE), análisis de márgenes y ROIC/WACC, múltiplos de valoración normalizados y detección de trucos contables en notas al balance.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2. Entradas (Inputs) y Fuentes Primarias de Datos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Modelos de Valoración Financiera: </w:t>
      </w:r>
      <w:r>
        <w:rPr>
          <w:rFonts w:ascii="Segoe UI" w:hAnsi="Segoe UI"/>
          <w:color w:val="1F2937"/>
          <w:sz w:val="19"/>
        </w:rPr>
        <w:t>Fórmulas de finanzas corporativas (Damodaran / McKinsey).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Casos Históricos de Fraudes y Éxitos: </w:t>
      </w:r>
      <w:r>
        <w:rPr>
          <w:rFonts w:ascii="Segoe UI" w:hAnsi="Segoe UI"/>
          <w:color w:val="1F2937"/>
          <w:sz w:val="19"/>
        </w:rPr>
        <w:t>Balances reales de empresas con problemas contables.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3. Componentes Internos y Motor de Procesamiento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Plantillas Financieras Interactivas: </w:t>
      </w:r>
      <w:r>
        <w:rPr>
          <w:rFonts w:ascii="Segoe UI" w:hAnsi="Segoe UI"/>
          <w:color w:val="1F2937"/>
          <w:sz w:val="19"/>
        </w:rPr>
        <w:t>Modelos de valoración con ajuste automático de variables.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Guías de Auditoría de Notas Contables: </w:t>
      </w:r>
      <w:r>
        <w:rPr>
          <w:rFonts w:ascii="Segoe UI" w:hAnsi="Segoe UI"/>
          <w:color w:val="1F2937"/>
          <w:sz w:val="19"/>
        </w:rPr>
        <w:t>Metodología paso a paso para examinar salvedades y KAMs.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Ejercicios de Valoración Completa: </w:t>
      </w:r>
      <w:r>
        <w:rPr>
          <w:rFonts w:ascii="Segoe UI" w:hAnsi="Segoe UI"/>
          <w:color w:val="1F2937"/>
          <w:sz w:val="19"/>
        </w:rPr>
        <w:t>Elaboración de una tesis de inversión fundamental.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4. Salidas (Outputs) y Entregables Hacia el Ecosistema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Paquete de Especialización para el Campus Desktop: </w:t>
      </w:r>
      <w:r>
        <w:rPr>
          <w:rFonts w:ascii="Segoe UI" w:hAnsi="Segoe UI"/>
          <w:color w:val="1F2937"/>
          <w:sz w:val="19"/>
        </w:rPr>
        <w:t>Desbloqueable mediante licencia de pago (PROD-10).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5. Correlación y Retroalimentación con Otros Módulos</w:t>
      </w:r>
    </w:p>
    <w:p>
      <w:pPr>
        <w:spacing w:after="60" w:before="0" w:line="276" w:lineRule="auto"/>
      </w:pPr>
      <w:r>
        <w:rPr>
          <w:rFonts w:ascii="Segoe UI" w:hAnsi="Segoe UI"/>
          <w:i w:val="0"/>
          <w:color w:val="1F2937"/>
          <w:sz w:val="19"/>
        </w:rPr>
        <w:t>Se aloja en el MOD-FOR-01 y se comercializa como producto A la Carta PROD-10.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egoe UI" w:hAnsi="Segoe UI"/>
        <w:color w:val="78909C"/>
        <w:sz w:val="16"/>
      </w:rPr>
      <w:t>STATER, S.L. · Arquitectura Técnica y Motor Autónomo · ID: MOD-FOR-04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78909C"/>
        <w:sz w:val="16"/>
      </w:rPr>
      <w:t>STATER IT · ACTIVOS INTANGIBLES · [FORMACIÓN] MÓDULO FORMATIVO C3: ANÁLISIS FUNDAMENTAL AVANZADO Y MODELADO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